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5F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Naziv obveznika: Centar za odgoj i obrazovanje Krapinske Toplice</w:t>
      </w:r>
    </w:p>
    <w:p w:rsidR="008521F6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Sjedište obveznika. Ljudevita Gaja 2, 49217 Krapinske Toplice</w:t>
      </w:r>
    </w:p>
    <w:p w:rsidR="00B855E5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BROJ RKP-a: 49309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Matični broj: 04508556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Razina: 31 – proračunski korisnik jedinice lokalne i područne (regi</w:t>
      </w:r>
      <w:r w:rsidR="008C095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nalne)samouprave koji obavlja poslove u sklopu funkcija koje se dec</w:t>
      </w:r>
      <w:r w:rsidR="008C0951">
        <w:rPr>
          <w:rFonts w:asciiTheme="minorHAnsi" w:hAnsiTheme="minorHAnsi" w:cstheme="minorHAnsi"/>
        </w:rPr>
        <w:t>en</w:t>
      </w:r>
      <w:r>
        <w:rPr>
          <w:rFonts w:asciiTheme="minorHAnsi" w:hAnsiTheme="minorHAnsi" w:cstheme="minorHAnsi"/>
        </w:rPr>
        <w:t>traliziraju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Šifra djelatnosti: 8520 – osnovno obrazovanje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Razdjel: nema razdjela</w:t>
      </w:r>
    </w:p>
    <w:p w:rsidR="008521F6" w:rsidRDefault="008521F6" w:rsidP="008521F6">
      <w:pPr>
        <w:rPr>
          <w:rFonts w:asciiTheme="minorHAnsi" w:hAnsiTheme="minorHAnsi" w:cstheme="minorHAnsi"/>
        </w:rPr>
      </w:pPr>
    </w:p>
    <w:p w:rsidR="008521F6" w:rsidRPr="009E6EE6" w:rsidRDefault="001F6060" w:rsidP="007A550F">
      <w:pPr>
        <w:jc w:val="center"/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FINANCIJSKE IZVJEŠTAJE ZA 20</w:t>
      </w:r>
      <w:r w:rsidR="00021A3B">
        <w:rPr>
          <w:rFonts w:asciiTheme="minorHAnsi" w:hAnsiTheme="minorHAnsi" w:cstheme="minorHAnsi"/>
          <w:b/>
        </w:rPr>
        <w:t>2</w:t>
      </w:r>
      <w:r w:rsidR="007C70B8">
        <w:rPr>
          <w:rFonts w:asciiTheme="minorHAnsi" w:hAnsiTheme="minorHAnsi" w:cstheme="minorHAnsi"/>
          <w:b/>
        </w:rPr>
        <w:t>2</w:t>
      </w:r>
      <w:r w:rsidRPr="009E6EE6">
        <w:rPr>
          <w:rFonts w:asciiTheme="minorHAnsi" w:hAnsiTheme="minorHAnsi" w:cstheme="minorHAnsi"/>
          <w:b/>
        </w:rPr>
        <w:t>. GODINU</w:t>
      </w:r>
    </w:p>
    <w:p w:rsidR="001F6060" w:rsidRDefault="001F6060" w:rsidP="007A550F">
      <w:pPr>
        <w:jc w:val="center"/>
        <w:rPr>
          <w:rFonts w:asciiTheme="minorHAnsi" w:hAnsiTheme="minorHAnsi" w:cstheme="minorHAnsi"/>
        </w:rPr>
      </w:pPr>
    </w:p>
    <w:p w:rsidR="001F6060" w:rsidRPr="009E6EE6" w:rsidRDefault="001F6060" w:rsidP="009E6EE6">
      <w:pPr>
        <w:pStyle w:val="Odlomakpopisa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bilancu</w:t>
      </w:r>
    </w:p>
    <w:p w:rsidR="001F6060" w:rsidRPr="009E6EE6" w:rsidRDefault="001F6060" w:rsidP="001F6060">
      <w:pPr>
        <w:ind w:left="360"/>
        <w:rPr>
          <w:rFonts w:asciiTheme="minorHAnsi" w:hAnsiTheme="minorHAnsi" w:cstheme="minorHAnsi"/>
          <w:b/>
        </w:rPr>
      </w:pPr>
    </w:p>
    <w:p w:rsidR="00DF2F5B" w:rsidRPr="00903168" w:rsidRDefault="00903168" w:rsidP="00903168">
      <w:pPr>
        <w:pStyle w:val="Naslov3"/>
        <w:spacing w:before="0"/>
        <w:ind w:firstLine="360"/>
        <w:jc w:val="both"/>
        <w:textAlignment w:val="baseline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Sukladno</w:t>
      </w:r>
      <w:r w:rsidR="008521F6" w:rsidRPr="00180CED">
        <w:rPr>
          <w:rFonts w:asciiTheme="minorHAnsi" w:hAnsiTheme="minorHAnsi" w:cstheme="minorHAnsi"/>
          <w:color w:val="auto"/>
        </w:rPr>
        <w:t xml:space="preserve"> </w:t>
      </w:r>
      <w:r w:rsidR="00180CED" w:rsidRPr="00180CED">
        <w:rPr>
          <w:rFonts w:asciiTheme="minorHAnsi" w:hAnsiTheme="minorHAnsi" w:cstheme="minorHAnsi"/>
          <w:color w:val="auto"/>
        </w:rPr>
        <w:t>Pravilnik</w:t>
      </w:r>
      <w:r>
        <w:rPr>
          <w:rFonts w:asciiTheme="minorHAnsi" w:hAnsiTheme="minorHAnsi" w:cstheme="minorHAnsi"/>
          <w:color w:val="auto"/>
        </w:rPr>
        <w:t>u</w:t>
      </w:r>
      <w:r w:rsidR="00180CED" w:rsidRPr="00180CED">
        <w:rPr>
          <w:rFonts w:asciiTheme="minorHAnsi" w:hAnsiTheme="minorHAnsi" w:cstheme="minorHAnsi"/>
          <w:color w:val="auto"/>
        </w:rPr>
        <w:t xml:space="preserve"> o izmjenama Pravilnika o financijskom izvještavanju u proračunskom računovodstvu (</w:t>
      </w:r>
      <w:r>
        <w:rPr>
          <w:rFonts w:asciiTheme="minorHAnsi" w:hAnsiTheme="minorHAnsi" w:cstheme="minorHAnsi"/>
          <w:color w:val="auto"/>
        </w:rPr>
        <w:t>NN 112/2018 ,</w:t>
      </w:r>
      <w:r w:rsidR="00180CED">
        <w:rPr>
          <w:rFonts w:asciiTheme="minorHAnsi" w:hAnsiTheme="minorHAnsi" w:cstheme="minorHAnsi"/>
          <w:color w:val="auto"/>
        </w:rPr>
        <w:t>14.12.2018.)</w:t>
      </w:r>
      <w:r w:rsidR="008521F6" w:rsidRPr="008521F6">
        <w:rPr>
          <w:rFonts w:asciiTheme="minorHAnsi" w:hAnsiTheme="minorHAnsi" w:cstheme="minorHAnsi"/>
        </w:rPr>
        <w:t xml:space="preserve"> </w:t>
      </w:r>
      <w:r w:rsidRPr="00903168">
        <w:rPr>
          <w:rFonts w:asciiTheme="minorHAnsi" w:hAnsiTheme="minorHAnsi" w:cstheme="minorHAnsi"/>
          <w:color w:val="auto"/>
        </w:rPr>
        <w:t>izjavljujemo da u 20</w:t>
      </w:r>
      <w:r w:rsidR="00021A3B">
        <w:rPr>
          <w:rFonts w:asciiTheme="minorHAnsi" w:hAnsiTheme="minorHAnsi" w:cstheme="minorHAnsi"/>
          <w:color w:val="auto"/>
        </w:rPr>
        <w:t>2</w:t>
      </w:r>
      <w:r w:rsidR="00C02D8A">
        <w:rPr>
          <w:rFonts w:asciiTheme="minorHAnsi" w:hAnsiTheme="minorHAnsi" w:cstheme="minorHAnsi"/>
          <w:color w:val="auto"/>
        </w:rPr>
        <w:t>2</w:t>
      </w:r>
      <w:r w:rsidRPr="00903168">
        <w:rPr>
          <w:rFonts w:asciiTheme="minorHAnsi" w:hAnsiTheme="minorHAnsi" w:cstheme="minorHAnsi"/>
          <w:color w:val="auto"/>
        </w:rPr>
        <w:t xml:space="preserve">. godini </w:t>
      </w:r>
      <w:r w:rsidR="00EE599F" w:rsidRPr="00903168">
        <w:rPr>
          <w:rFonts w:asciiTheme="minorHAnsi" w:hAnsiTheme="minorHAnsi" w:cstheme="minorHAnsi"/>
          <w:color w:val="auto"/>
        </w:rPr>
        <w:t>Centar za odgoj i obrazovanje Krapinske Toplice</w:t>
      </w:r>
      <w:r w:rsidR="008521F6" w:rsidRPr="00903168">
        <w:rPr>
          <w:rFonts w:asciiTheme="minorHAnsi" w:hAnsiTheme="minorHAnsi" w:cstheme="minorHAnsi"/>
          <w:color w:val="auto"/>
        </w:rPr>
        <w:t xml:space="preserve"> nije imao poslovne događaje i trans</w:t>
      </w:r>
      <w:r>
        <w:rPr>
          <w:rFonts w:asciiTheme="minorHAnsi" w:hAnsiTheme="minorHAnsi" w:cstheme="minorHAnsi"/>
          <w:color w:val="auto"/>
        </w:rPr>
        <w:t>akcije o kojima se podaci traže u obveznim bilješkama, tj. nije imao ugovornih odnosa i sl. koji uz ispunjenje određenih uvjeta mogu postati obveze ili imovina (dana kreditna pisma, hipoteke i sl.) te nema sudskih sporova u tijeku.</w:t>
      </w:r>
    </w:p>
    <w:p w:rsidR="00903168" w:rsidRPr="00903168" w:rsidRDefault="00903168" w:rsidP="00903168"/>
    <w:p w:rsidR="00021A3B" w:rsidRDefault="008C095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AO</w:t>
      </w:r>
      <w:r w:rsidR="009B71E0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 002 – Nefinancijska imovina</w:t>
      </w:r>
    </w:p>
    <w:tbl>
      <w:tblPr>
        <w:tblW w:w="7100" w:type="dxa"/>
        <w:tblInd w:w="-10" w:type="dxa"/>
        <w:tblLook w:val="04A0" w:firstRow="1" w:lastRow="0" w:firstColumn="1" w:lastColumn="0" w:noHBand="0" w:noVBand="1"/>
      </w:tblPr>
      <w:tblGrid>
        <w:gridCol w:w="4360"/>
        <w:gridCol w:w="2740"/>
      </w:tblGrid>
      <w:tr w:rsidR="00321D21" w:rsidTr="00321D21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POČETNO STANJE 01.01.2022.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6.411.321,22</w:t>
            </w:r>
          </w:p>
        </w:tc>
      </w:tr>
      <w:tr w:rsidR="00321D21" w:rsidTr="00321D2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ISPRAVAK VRIJEDNOSTI 2022.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D21" w:rsidRDefault="00321D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259.647,35</w:t>
            </w:r>
          </w:p>
        </w:tc>
      </w:tr>
      <w:tr w:rsidR="00321D21" w:rsidTr="00321D2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NABAVLJENA IMOVINA 2022.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1.883.722,64</w:t>
            </w:r>
          </w:p>
        </w:tc>
      </w:tr>
      <w:tr w:rsidR="00321D21" w:rsidTr="00321D2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SADAŠNJA VRIJEDNOST  NA DAN 31.12.2022.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1D21" w:rsidRDefault="00321D2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8.035.396,51</w:t>
            </w:r>
          </w:p>
        </w:tc>
      </w:tr>
    </w:tbl>
    <w:p w:rsidR="00CD6EC3" w:rsidRDefault="00CD6EC3" w:rsidP="00996010">
      <w:pPr>
        <w:jc w:val="both"/>
        <w:rPr>
          <w:rFonts w:asciiTheme="minorHAnsi" w:hAnsiTheme="minorHAnsi" w:cstheme="minorHAnsi"/>
        </w:rPr>
      </w:pPr>
    </w:p>
    <w:p w:rsidR="006B1B0D" w:rsidRDefault="006B1B0D" w:rsidP="009960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nefinancijske imovine u 202</w:t>
      </w:r>
      <w:r w:rsidR="00321D2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godini </w:t>
      </w:r>
      <w:r w:rsidR="00A70EF9">
        <w:rPr>
          <w:rFonts w:asciiTheme="minorHAnsi" w:hAnsiTheme="minorHAnsi" w:cstheme="minorHAnsi"/>
        </w:rPr>
        <w:t>su nabavljeni</w:t>
      </w:r>
      <w:r w:rsidR="005C15FA">
        <w:rPr>
          <w:rFonts w:asciiTheme="minorHAnsi" w:hAnsiTheme="minorHAnsi" w:cstheme="minorHAnsi"/>
        </w:rPr>
        <w:t xml:space="preserve"> </w:t>
      </w:r>
      <w:r w:rsidR="00F23D9F">
        <w:rPr>
          <w:rFonts w:asciiTheme="minorHAnsi" w:hAnsiTheme="minorHAnsi" w:cstheme="minorHAnsi"/>
        </w:rPr>
        <w:t xml:space="preserve">ormari za arhivu i sobu medicinske sestre, dvije pametne ploče te </w:t>
      </w:r>
      <w:r w:rsidR="005C15FA">
        <w:rPr>
          <w:rFonts w:asciiTheme="minorHAnsi" w:hAnsiTheme="minorHAnsi" w:cstheme="minorHAnsi"/>
        </w:rPr>
        <w:t>udžbenici i lektira</w:t>
      </w:r>
      <w:r w:rsidR="00A70EF9">
        <w:rPr>
          <w:rFonts w:asciiTheme="minorHAnsi" w:hAnsiTheme="minorHAnsi" w:cstheme="minorHAnsi"/>
        </w:rPr>
        <w:t>.</w:t>
      </w:r>
      <w:r w:rsidR="00F23D9F">
        <w:rPr>
          <w:rFonts w:asciiTheme="minorHAnsi" w:hAnsiTheme="minorHAnsi" w:cstheme="minorHAnsi"/>
        </w:rPr>
        <w:t xml:space="preserve"> Kupljeno je z</w:t>
      </w:r>
      <w:r w:rsidR="001C79D9">
        <w:rPr>
          <w:rFonts w:asciiTheme="minorHAnsi" w:hAnsiTheme="minorHAnsi" w:cstheme="minorHAnsi"/>
        </w:rPr>
        <w:t>e</w:t>
      </w:r>
      <w:r w:rsidR="00F23D9F">
        <w:rPr>
          <w:rFonts w:asciiTheme="minorHAnsi" w:hAnsiTheme="minorHAnsi" w:cstheme="minorHAnsi"/>
        </w:rPr>
        <w:t>mljište za izgradnju novog Centra.</w:t>
      </w:r>
    </w:p>
    <w:p w:rsidR="007F52E0" w:rsidRDefault="007F52E0" w:rsidP="007F52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sitnog inve</w:t>
      </w:r>
      <w:r w:rsidR="00F23D9F">
        <w:rPr>
          <w:rFonts w:asciiTheme="minorHAnsi" w:hAnsiTheme="minorHAnsi" w:cstheme="minorHAnsi"/>
        </w:rPr>
        <w:t>ntara ističemo nabavu stalaka za pametne ploče te alat potreban za održavanje zgrade</w:t>
      </w:r>
      <w:r>
        <w:rPr>
          <w:rFonts w:asciiTheme="minorHAnsi" w:hAnsiTheme="minorHAnsi" w:cstheme="minorHAnsi"/>
        </w:rPr>
        <w:t>.</w:t>
      </w:r>
    </w:p>
    <w:p w:rsidR="00F23D9F" w:rsidRDefault="00F23D9F" w:rsidP="007F52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Bilješka uz Šifru 123 -  Potraživanja od zaposlenih odnose se na troškove telefona koje djelatnici podmiruju ustegom od plaće.</w:t>
      </w:r>
    </w:p>
    <w:p w:rsidR="005C15FA" w:rsidRDefault="005C15FA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F23D9F">
        <w:rPr>
          <w:rFonts w:asciiTheme="minorHAnsi" w:hAnsiTheme="minorHAnsi" w:cstheme="minorHAnsi"/>
        </w:rPr>
        <w:t>Šifru 124</w:t>
      </w:r>
      <w:r>
        <w:rPr>
          <w:rFonts w:asciiTheme="minorHAnsi" w:hAnsiTheme="minorHAnsi" w:cstheme="minorHAnsi"/>
        </w:rPr>
        <w:t xml:space="preserve"> – Potraživanja za više plaćene poreze i doprinose – obveza je uz plaću za 11. mjesec izvršiti godišnji obračun poreza. Do povrata poreza došlo je u slučaju kad su neki djelatnici bili na duljem bolovanju te nisu primali plaću i iskoristili osobni odbitak.</w:t>
      </w:r>
    </w:p>
    <w:p w:rsidR="007F52E0" w:rsidRDefault="007F52E0" w:rsidP="00C83F33">
      <w:pPr>
        <w:ind w:firstLine="360"/>
        <w:jc w:val="both"/>
        <w:rPr>
          <w:rFonts w:asciiTheme="minorHAnsi" w:hAnsiTheme="minorHAnsi" w:cstheme="minorHAnsi"/>
        </w:rPr>
      </w:pPr>
    </w:p>
    <w:p w:rsidR="007F52E0" w:rsidRDefault="007F52E0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129</w:t>
      </w:r>
      <w:r>
        <w:rPr>
          <w:rFonts w:asciiTheme="minorHAnsi" w:hAnsiTheme="minorHAnsi" w:cstheme="minorHAnsi"/>
        </w:rPr>
        <w:t xml:space="preserve"> – Ostala potraživanja - odnosi se na potraživanja za naknade za bolovanja</w:t>
      </w:r>
      <w:r w:rsidR="001C79D9">
        <w:rPr>
          <w:rFonts w:asciiTheme="minorHAnsi" w:hAnsiTheme="minorHAnsi" w:cstheme="minorHAnsi"/>
        </w:rPr>
        <w:t xml:space="preserve"> na teret HZZO-a od travnja 2021</w:t>
      </w:r>
      <w:r>
        <w:rPr>
          <w:rFonts w:asciiTheme="minorHAnsi" w:hAnsiTheme="minorHAnsi" w:cstheme="minorHAnsi"/>
        </w:rPr>
        <w:t>. godine do prosinca 202</w:t>
      </w:r>
      <w:r w:rsidR="001C79D9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 godine</w:t>
      </w:r>
      <w:r w:rsidR="001C79D9">
        <w:rPr>
          <w:rFonts w:asciiTheme="minorHAnsi" w:hAnsiTheme="minorHAnsi" w:cstheme="minorHAnsi"/>
        </w:rPr>
        <w:t xml:space="preserve"> te potraživanja za refundacije režijskih troškova</w:t>
      </w:r>
    </w:p>
    <w:p w:rsidR="00B97456" w:rsidRDefault="00B97456" w:rsidP="00C83F33">
      <w:pPr>
        <w:ind w:firstLine="360"/>
        <w:jc w:val="both"/>
        <w:rPr>
          <w:rFonts w:asciiTheme="minorHAnsi" w:hAnsiTheme="minorHAnsi" w:cstheme="minorHAnsi"/>
        </w:rPr>
      </w:pPr>
    </w:p>
    <w:p w:rsidR="00B97456" w:rsidRDefault="00B97456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16</w:t>
      </w:r>
      <w:r w:rsidR="007C70B8">
        <w:rPr>
          <w:rFonts w:asciiTheme="minorHAnsi" w:hAnsiTheme="minorHAnsi" w:cstheme="minorHAnsi"/>
        </w:rPr>
        <w:t>, 96</w:t>
      </w:r>
      <w:r w:rsidR="005C15FA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 xml:space="preserve"> Potraživanja za prihode poslovanja – odnosi se na potraživanja za troškove prijevoza djece</w:t>
      </w:r>
      <w:r w:rsidR="001C79D9">
        <w:rPr>
          <w:rFonts w:asciiTheme="minorHAnsi" w:hAnsiTheme="minorHAnsi" w:cstheme="minorHAnsi"/>
        </w:rPr>
        <w:t xml:space="preserve"> te potraživanja za plaće pomoćnika u nast</w:t>
      </w:r>
      <w:r w:rsidR="007C70B8">
        <w:rPr>
          <w:rFonts w:asciiTheme="minorHAnsi" w:hAnsiTheme="minorHAnsi" w:cstheme="minorHAnsi"/>
        </w:rPr>
        <w:t>a</w:t>
      </w:r>
      <w:r w:rsidR="001C79D9">
        <w:rPr>
          <w:rFonts w:asciiTheme="minorHAnsi" w:hAnsiTheme="minorHAnsi" w:cstheme="minorHAnsi"/>
        </w:rPr>
        <w:t>vi</w:t>
      </w:r>
      <w:r>
        <w:rPr>
          <w:rFonts w:asciiTheme="minorHAnsi" w:hAnsiTheme="minorHAnsi" w:cstheme="minorHAnsi"/>
        </w:rPr>
        <w:t xml:space="preserve"> koje sufinanciraju gradovi i općine.</w:t>
      </w:r>
      <w:r w:rsidR="001B6C68">
        <w:rPr>
          <w:rFonts w:asciiTheme="minorHAnsi" w:hAnsiTheme="minorHAnsi" w:cstheme="minorHAnsi"/>
        </w:rPr>
        <w:t xml:space="preserve"> </w:t>
      </w:r>
      <w:r w:rsidR="00472313">
        <w:rPr>
          <w:rFonts w:asciiTheme="minorHAnsi" w:hAnsiTheme="minorHAnsi" w:cstheme="minorHAnsi"/>
        </w:rPr>
        <w:t>D</w:t>
      </w:r>
      <w:r w:rsidR="001D287E">
        <w:rPr>
          <w:rFonts w:asciiTheme="minorHAnsi" w:hAnsiTheme="minorHAnsi" w:cstheme="minorHAnsi"/>
        </w:rPr>
        <w:t xml:space="preserve">ospjela potraživanja odnose se na sufinanciranje troškova prijevoza djece </w:t>
      </w:r>
      <w:r w:rsidR="00536FD1">
        <w:rPr>
          <w:rFonts w:asciiTheme="minorHAnsi" w:hAnsiTheme="minorHAnsi" w:cstheme="minorHAnsi"/>
        </w:rPr>
        <w:t>i kod njih</w:t>
      </w:r>
      <w:r w:rsidR="001D287E">
        <w:rPr>
          <w:rFonts w:asciiTheme="minorHAnsi" w:hAnsiTheme="minorHAnsi" w:cstheme="minorHAnsi"/>
        </w:rPr>
        <w:t xml:space="preserve"> se kasni s naplatom do </w:t>
      </w:r>
      <w:r w:rsidR="00AB29A1">
        <w:rPr>
          <w:rFonts w:asciiTheme="minorHAnsi" w:hAnsiTheme="minorHAnsi" w:cstheme="minorHAnsi"/>
        </w:rPr>
        <w:t>9</w:t>
      </w:r>
      <w:r w:rsidR="00996010">
        <w:rPr>
          <w:rFonts w:asciiTheme="minorHAnsi" w:hAnsiTheme="minorHAnsi" w:cstheme="minorHAnsi"/>
        </w:rPr>
        <w:t>0</w:t>
      </w:r>
      <w:r w:rsidR="001B6C68">
        <w:rPr>
          <w:rFonts w:asciiTheme="minorHAnsi" w:hAnsiTheme="minorHAnsi" w:cstheme="minorHAnsi"/>
        </w:rPr>
        <w:t xml:space="preserve"> dana.</w:t>
      </w:r>
      <w:r w:rsidR="00472313">
        <w:rPr>
          <w:rFonts w:asciiTheme="minorHAnsi" w:hAnsiTheme="minorHAnsi" w:cstheme="minorHAnsi"/>
        </w:rPr>
        <w:t xml:space="preserve"> U prethodnom razdoblju je bilo više takvih potraživanja.</w:t>
      </w:r>
    </w:p>
    <w:p w:rsidR="009E6EE6" w:rsidRDefault="009E6EE6" w:rsidP="008C0951">
      <w:pPr>
        <w:ind w:firstLine="360"/>
        <w:jc w:val="both"/>
        <w:rPr>
          <w:rFonts w:asciiTheme="minorHAnsi" w:hAnsiTheme="minorHAnsi" w:cstheme="minorHAnsi"/>
        </w:rPr>
      </w:pPr>
    </w:p>
    <w:p w:rsidR="00CD6EC3" w:rsidRDefault="00CD6EC3" w:rsidP="008C0951">
      <w:pPr>
        <w:ind w:firstLine="360"/>
        <w:jc w:val="both"/>
        <w:rPr>
          <w:rFonts w:asciiTheme="minorHAnsi" w:hAnsiTheme="minorHAnsi" w:cstheme="minorHAnsi"/>
        </w:rPr>
      </w:pPr>
    </w:p>
    <w:p w:rsidR="00CD6EC3" w:rsidRDefault="00CD6EC3" w:rsidP="008C0951">
      <w:pPr>
        <w:ind w:firstLine="360"/>
        <w:jc w:val="both"/>
        <w:rPr>
          <w:rFonts w:asciiTheme="minorHAnsi" w:hAnsiTheme="minorHAnsi" w:cstheme="minorHAnsi"/>
        </w:rPr>
      </w:pPr>
    </w:p>
    <w:p w:rsidR="009B71E0" w:rsidRDefault="009E6EE6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193</w:t>
      </w:r>
      <w:r>
        <w:rPr>
          <w:rFonts w:asciiTheme="minorHAnsi" w:hAnsiTheme="minorHAnsi" w:cstheme="minorHAnsi"/>
        </w:rPr>
        <w:t xml:space="preserve"> – Kontinuirani rashodi budućih razdoblja </w:t>
      </w:r>
    </w:p>
    <w:tbl>
      <w:tblPr>
        <w:tblW w:w="7440" w:type="dxa"/>
        <w:tblInd w:w="-5" w:type="dxa"/>
        <w:tblLook w:val="04A0" w:firstRow="1" w:lastRow="0" w:firstColumn="1" w:lastColumn="0" w:noHBand="0" w:noVBand="1"/>
      </w:tblPr>
      <w:tblGrid>
        <w:gridCol w:w="960"/>
        <w:gridCol w:w="1200"/>
        <w:gridCol w:w="3160"/>
        <w:gridCol w:w="2120"/>
      </w:tblGrid>
      <w:tr w:rsidR="00472313" w:rsidTr="0047231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Red. Br.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Iznos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12/22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629.453,97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KZŽ  12/22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15.596,55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Baltazar-plaća 12/22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21.106,47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Rana intervencija-plaća 12/22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15.477,06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PUN-</w:t>
            </w:r>
            <w:r w:rsidR="007C70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JLS+KZŽ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12/22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3.924,19</w:t>
            </w:r>
          </w:p>
        </w:tc>
      </w:tr>
      <w:tr w:rsidR="00472313" w:rsidTr="004723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13" w:rsidRDefault="004723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685.558,24</w:t>
            </w:r>
          </w:p>
        </w:tc>
      </w:tr>
    </w:tbl>
    <w:p w:rsidR="00ED52AA" w:rsidRDefault="00ED52AA" w:rsidP="00472313">
      <w:pPr>
        <w:jc w:val="both"/>
        <w:rPr>
          <w:rFonts w:asciiTheme="minorHAnsi" w:hAnsiTheme="minorHAnsi" w:cstheme="minorHAnsi"/>
        </w:rPr>
      </w:pPr>
    </w:p>
    <w:p w:rsidR="002064DE" w:rsidRDefault="00AB29A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232</w:t>
      </w:r>
      <w:r>
        <w:rPr>
          <w:rFonts w:asciiTheme="minorHAnsi" w:hAnsiTheme="minorHAnsi" w:cstheme="minorHAnsi"/>
        </w:rPr>
        <w:t xml:space="preserve"> Obveze za materijalne rashode – obuhvaćaju troškove za energente, komunalne usluge i ostale redovne materijalne rashode</w:t>
      </w:r>
      <w:r w:rsidR="00472313">
        <w:rPr>
          <w:rFonts w:asciiTheme="minorHAnsi" w:hAnsiTheme="minorHAnsi" w:cstheme="minorHAnsi"/>
        </w:rPr>
        <w:t xml:space="preserve">. U prethodnom razdoblju obveze su bile veće </w:t>
      </w:r>
      <w:r w:rsidR="002064DE">
        <w:rPr>
          <w:rFonts w:asciiTheme="minorHAnsi" w:hAnsiTheme="minorHAnsi" w:cstheme="minorHAnsi"/>
        </w:rPr>
        <w:t>jer nisu bile podmirene obveze za sufinanciranje prijevoza učenika za 11/2021.</w:t>
      </w:r>
    </w:p>
    <w:p w:rsidR="00751E5D" w:rsidRDefault="002064DE" w:rsidP="007C70B8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234 – Obveze za financijske rashode – povećane su cijene bankarskih usluga u odnosu na prethodno razdoblje</w:t>
      </w:r>
      <w:r w:rsidR="00751E5D">
        <w:rPr>
          <w:rFonts w:asciiTheme="minorHAnsi" w:hAnsiTheme="minorHAnsi" w:cstheme="minorHAnsi"/>
        </w:rPr>
        <w:t xml:space="preserve"> </w:t>
      </w:r>
    </w:p>
    <w:p w:rsidR="00ED52AA" w:rsidRDefault="00AB29A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2064DE">
        <w:rPr>
          <w:rFonts w:asciiTheme="minorHAnsi" w:hAnsiTheme="minorHAnsi" w:cstheme="minorHAnsi"/>
        </w:rPr>
        <w:t>Šifru 239</w:t>
      </w:r>
      <w:r w:rsidR="00096043">
        <w:rPr>
          <w:rFonts w:asciiTheme="minorHAnsi" w:hAnsiTheme="minorHAnsi" w:cstheme="minorHAnsi"/>
        </w:rPr>
        <w:t xml:space="preserve"> – Ostale tekuće obveze -  odnose se na više uplaćen porez i prirez, te na obveze proračunskih korisnika za povrat u proračun (po uputi Ministarstva potraživanja i obveze za naknadu plaća za bolovanja HZZO</w:t>
      </w:r>
      <w:r w:rsidR="00751E5D">
        <w:rPr>
          <w:rFonts w:asciiTheme="minorHAnsi" w:hAnsiTheme="minorHAnsi" w:cstheme="minorHAnsi"/>
        </w:rPr>
        <w:t xml:space="preserve"> zatvorila su se do 0</w:t>
      </w:r>
      <w:r w:rsidR="002064DE">
        <w:rPr>
          <w:rFonts w:asciiTheme="minorHAnsi" w:hAnsiTheme="minorHAnsi" w:cstheme="minorHAnsi"/>
        </w:rPr>
        <w:t>4</w:t>
      </w:r>
      <w:r w:rsidR="00751E5D">
        <w:rPr>
          <w:rFonts w:asciiTheme="minorHAnsi" w:hAnsiTheme="minorHAnsi" w:cstheme="minorHAnsi"/>
        </w:rPr>
        <w:t>/202</w:t>
      </w:r>
      <w:r w:rsidR="002064DE">
        <w:rPr>
          <w:rFonts w:asciiTheme="minorHAnsi" w:hAnsiTheme="minorHAnsi" w:cstheme="minorHAnsi"/>
        </w:rPr>
        <w:t>1</w:t>
      </w:r>
      <w:r w:rsidR="00096043">
        <w:rPr>
          <w:rFonts w:asciiTheme="minorHAnsi" w:hAnsiTheme="minorHAnsi" w:cstheme="minorHAnsi"/>
        </w:rPr>
        <w:t>)</w:t>
      </w:r>
    </w:p>
    <w:p w:rsidR="006B1B0D" w:rsidRDefault="002064DE" w:rsidP="0009604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2064DE" w:rsidRDefault="002064DE" w:rsidP="0009604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Bilješka uz Šifru 24 – Obveze za nabavu nefinancijske imovine – odnose se na nabavu pametnih ploča</w:t>
      </w:r>
    </w:p>
    <w:p w:rsidR="006B1B0D" w:rsidRDefault="006B1B0D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2064DE">
        <w:rPr>
          <w:rFonts w:asciiTheme="minorHAnsi" w:hAnsiTheme="minorHAnsi" w:cstheme="minorHAnsi"/>
        </w:rPr>
        <w:t>Šifru 29</w:t>
      </w:r>
      <w:r>
        <w:rPr>
          <w:rFonts w:asciiTheme="minorHAnsi" w:hAnsiTheme="minorHAnsi" w:cstheme="minorHAnsi"/>
        </w:rPr>
        <w:t xml:space="preserve"> – Odgođeno plaćanje rashoda</w:t>
      </w:r>
      <w:r w:rsidR="002064DE">
        <w:rPr>
          <w:rFonts w:asciiTheme="minorHAnsi" w:hAnsiTheme="minorHAnsi" w:cstheme="minorHAnsi"/>
        </w:rPr>
        <w:t xml:space="preserve"> i prihodi budućih razdoblja</w:t>
      </w:r>
      <w:r>
        <w:rPr>
          <w:rFonts w:asciiTheme="minorHAnsi" w:hAnsiTheme="minorHAnsi" w:cstheme="minorHAnsi"/>
        </w:rPr>
        <w:t xml:space="preserve"> – odnosi se na obračunate rashode koji nisu fakturirani. </w:t>
      </w:r>
      <w:r w:rsidR="00751E5D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 xml:space="preserve">sastavljanja izvještaja </w:t>
      </w:r>
      <w:r w:rsidR="00A75191">
        <w:rPr>
          <w:rFonts w:asciiTheme="minorHAnsi" w:hAnsiTheme="minorHAnsi" w:cstheme="minorHAnsi"/>
        </w:rPr>
        <w:t xml:space="preserve">nije </w:t>
      </w:r>
      <w:r>
        <w:rPr>
          <w:rFonts w:asciiTheme="minorHAnsi" w:hAnsiTheme="minorHAnsi" w:cstheme="minorHAnsi"/>
        </w:rPr>
        <w:t>ispostavljen</w:t>
      </w:r>
      <w:r w:rsidR="00A75191">
        <w:rPr>
          <w:rFonts w:asciiTheme="minorHAnsi" w:hAnsiTheme="minorHAnsi" w:cstheme="minorHAnsi"/>
        </w:rPr>
        <w:t xml:space="preserve"> račun za električnu energiju </w:t>
      </w:r>
      <w:r w:rsidR="002064DE">
        <w:rPr>
          <w:rFonts w:asciiTheme="minorHAnsi" w:hAnsiTheme="minorHAnsi" w:cstheme="minorHAnsi"/>
        </w:rPr>
        <w:t xml:space="preserve"> za</w:t>
      </w:r>
      <w:r w:rsidR="00A75191">
        <w:rPr>
          <w:rFonts w:asciiTheme="minorHAnsi" w:hAnsiTheme="minorHAnsi" w:cstheme="minorHAnsi"/>
        </w:rPr>
        <w:t xml:space="preserve"> 12. mjesec  2022. godine</w:t>
      </w:r>
      <w:r w:rsidR="007C70B8">
        <w:rPr>
          <w:rFonts w:asciiTheme="minorHAnsi" w:hAnsiTheme="minorHAnsi" w:cstheme="minorHAnsi"/>
        </w:rPr>
        <w:t>. Prihodi budućih razdoblja odnosi se na preplatu sufinanciranja prijevoza predškole.</w:t>
      </w:r>
      <w:r w:rsidR="00A75191">
        <w:rPr>
          <w:rFonts w:asciiTheme="minorHAnsi" w:hAnsiTheme="minorHAnsi" w:cstheme="minorHAnsi"/>
        </w:rPr>
        <w:t xml:space="preserve"> </w:t>
      </w:r>
    </w:p>
    <w:p w:rsidR="00FC1640" w:rsidRDefault="00FC1640" w:rsidP="008C0951">
      <w:pPr>
        <w:ind w:firstLine="360"/>
        <w:jc w:val="both"/>
        <w:rPr>
          <w:rFonts w:asciiTheme="minorHAnsi" w:hAnsiTheme="minorHAnsi" w:cstheme="minorHAnsi"/>
        </w:rPr>
      </w:pPr>
    </w:p>
    <w:tbl>
      <w:tblPr>
        <w:tblW w:w="7100" w:type="dxa"/>
        <w:tblLook w:val="04A0" w:firstRow="1" w:lastRow="0" w:firstColumn="1" w:lastColumn="0" w:noHBand="0" w:noVBand="1"/>
      </w:tblPr>
      <w:tblGrid>
        <w:gridCol w:w="4360"/>
        <w:gridCol w:w="2740"/>
      </w:tblGrid>
      <w:tr w:rsidR="00A75191" w:rsidTr="00A75191">
        <w:trPr>
          <w:trHeight w:val="33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Bilješka uz Šifru 9222 – Manjak prihoda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191" w:rsidRDefault="00A75191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Manjak prihoda poslovanja iz 2021. godine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-103.039,02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11.717.645,98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9.769.234,64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Višak prihoda poslovanja 31.12.2022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1.845.372,32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191" w:rsidRDefault="00A75191">
            <w:pPr>
              <w:rPr>
                <w:sz w:val="20"/>
                <w:szCs w:val="20"/>
              </w:rPr>
            </w:pP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1.876.266,29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Manjak prihoda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-1.876.266,29</w:t>
            </w:r>
          </w:p>
        </w:tc>
      </w:tr>
      <w:tr w:rsidR="00A75191" w:rsidTr="00A75191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REZULTAT POSLOVANJA </w:t>
            </w:r>
          </w:p>
        </w:tc>
        <w:tc>
          <w:tcPr>
            <w:tcW w:w="27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75191" w:rsidRDefault="00A75191">
            <w:pPr>
              <w:rPr>
                <w:color w:val="000000"/>
                <w:sz w:val="20"/>
                <w:szCs w:val="20"/>
              </w:rPr>
            </w:pPr>
          </w:p>
        </w:tc>
      </w:tr>
      <w:tr w:rsidR="00A75191" w:rsidTr="00A75191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Manjak prihoda 31.12.2022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91" w:rsidRDefault="00A751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-30.893,97</w:t>
            </w:r>
          </w:p>
        </w:tc>
      </w:tr>
    </w:tbl>
    <w:p w:rsidR="00021863" w:rsidRDefault="00021863" w:rsidP="008C0951">
      <w:pPr>
        <w:ind w:firstLine="360"/>
        <w:jc w:val="both"/>
        <w:rPr>
          <w:rFonts w:asciiTheme="minorHAnsi" w:hAnsiTheme="minorHAnsi" w:cstheme="minorHAnsi"/>
        </w:rPr>
      </w:pPr>
    </w:p>
    <w:p w:rsidR="00536FD1" w:rsidRDefault="00096043" w:rsidP="007C70B8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0F6685">
        <w:rPr>
          <w:rFonts w:asciiTheme="minorHAnsi" w:hAnsiTheme="minorHAnsi" w:cstheme="minorHAnsi"/>
        </w:rPr>
        <w:t>Šifru 991 i 996</w:t>
      </w:r>
      <w:r>
        <w:rPr>
          <w:rFonts w:asciiTheme="minorHAnsi" w:hAnsiTheme="minorHAnsi" w:cstheme="minorHAnsi"/>
        </w:rPr>
        <w:t xml:space="preserve"> – Izvanbilančni zapisi  - evidentirana je tuđa imovina dobivena na korištenje (računala i računalna oprema – od MZO, fotokopirni uređaj- u najmu, kombi vozilo- u najmu, kontejner z</w:t>
      </w:r>
      <w:r w:rsidR="007C70B8">
        <w:rPr>
          <w:rFonts w:asciiTheme="minorHAnsi" w:hAnsiTheme="minorHAnsi" w:cstheme="minorHAnsi"/>
        </w:rPr>
        <w:t>a smeće- od komunalnog poduzeća</w:t>
      </w:r>
      <w:r w:rsidR="00466621">
        <w:rPr>
          <w:rFonts w:asciiTheme="minorHAnsi" w:hAnsiTheme="minorHAnsi" w:cstheme="minorHAnsi"/>
        </w:rPr>
        <w:t>)</w:t>
      </w:r>
    </w:p>
    <w:p w:rsidR="007C70B8" w:rsidRPr="007C70B8" w:rsidRDefault="007C70B8" w:rsidP="007C70B8">
      <w:pPr>
        <w:ind w:firstLine="360"/>
        <w:jc w:val="both"/>
        <w:rPr>
          <w:rFonts w:asciiTheme="minorHAnsi" w:hAnsiTheme="minorHAnsi" w:cstheme="minorHAnsi"/>
        </w:rPr>
      </w:pPr>
    </w:p>
    <w:p w:rsidR="008521F6" w:rsidRPr="00A821CA" w:rsidRDefault="00A821CA" w:rsidP="00A821CA">
      <w:pPr>
        <w:ind w:left="360"/>
        <w:rPr>
          <w:rFonts w:asciiTheme="minorHAnsi" w:hAnsiTheme="minorHAnsi" w:cstheme="minorHAnsi"/>
        </w:rPr>
      </w:pPr>
      <w:r w:rsidRPr="00A821CA">
        <w:rPr>
          <w:rFonts w:asciiTheme="minorHAnsi" w:hAnsiTheme="minorHAnsi" w:cstheme="minorHAnsi"/>
          <w:b/>
        </w:rPr>
        <w:lastRenderedPageBreak/>
        <w:t xml:space="preserve">2. </w:t>
      </w:r>
      <w:r w:rsidR="00991934" w:rsidRPr="00A821CA">
        <w:rPr>
          <w:rFonts w:asciiTheme="minorHAnsi" w:hAnsiTheme="minorHAnsi" w:cstheme="minorHAnsi"/>
          <w:b/>
        </w:rPr>
        <w:t>Bilješke uz obrazac PR-RAS</w:t>
      </w:r>
    </w:p>
    <w:p w:rsidR="00111488" w:rsidRDefault="00111488" w:rsidP="00111488">
      <w:pPr>
        <w:ind w:left="708"/>
        <w:rPr>
          <w:rFonts w:asciiTheme="minorHAnsi" w:hAnsiTheme="minorHAnsi" w:cstheme="minorHAnsi"/>
        </w:rPr>
      </w:pPr>
    </w:p>
    <w:p w:rsidR="008F7DE5" w:rsidRDefault="008F7DE5" w:rsidP="00111488">
      <w:pPr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tablici u nastavku navodimo prihode i rashode Centra p</w:t>
      </w:r>
      <w:r w:rsidR="00C83F33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izvorima financiranja:</w:t>
      </w:r>
    </w:p>
    <w:p w:rsidR="0061106F" w:rsidRDefault="0061106F" w:rsidP="0061106F">
      <w:pPr>
        <w:rPr>
          <w:rFonts w:asciiTheme="minorHAnsi" w:hAnsiTheme="minorHAnsi" w:cstheme="minorHAnsi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777"/>
        <w:gridCol w:w="2140"/>
        <w:gridCol w:w="1468"/>
        <w:gridCol w:w="1506"/>
        <w:gridCol w:w="1460"/>
        <w:gridCol w:w="1474"/>
        <w:gridCol w:w="1468"/>
      </w:tblGrid>
      <w:tr w:rsidR="0061106F" w:rsidTr="0061106F">
        <w:trPr>
          <w:trHeight w:val="102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IZVOR FINANCIRANJA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 31.12.2021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POSLOVANJA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61106F" w:rsidTr="0061106F">
        <w:trPr>
          <w:trHeight w:val="57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 - Decentralizirana sredstva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2.151.784,00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251.784,00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1.816.164,89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83.835,11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KZŽ-dodatna sredstva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15.419,78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732.485,66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780.450,70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-42.895,26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KZŽ-UKUPNO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15.419,78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2.884.269,66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1.032.234,70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1.826.514,89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40.939,85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Državni proračun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-132.765,72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8.742.359,52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8.649.473,98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38.462,26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-78.342,44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Opći prihodi i primici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-117.345,94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11.626.629,18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9.681.708,68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1.864.977,15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-37.402,59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Pomoći - JLS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-7.658,61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53.639,69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48.281,19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-2.300,11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Donacije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8.665,88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7.726,55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4.402,88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11.289,14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700,41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Vlastiti prihodi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13.299,65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16.732,31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21.923,64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8.108,32</w:t>
            </w:r>
          </w:p>
        </w:tc>
      </w:tr>
      <w:tr w:rsidR="0061106F" w:rsidTr="0061106F">
        <w:trPr>
          <w:trHeight w:val="7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6F" w:rsidRDefault="0061106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Ostali prihodi za posebne namjene - sufinanciranje cijene usluga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12.918,25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12.918,25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61106F" w:rsidTr="0061106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-103.039,02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11.717.645,98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9.769.234,64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1.876.266,29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1106F" w:rsidRDefault="0061106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-30.893,97</w:t>
            </w:r>
          </w:p>
        </w:tc>
      </w:tr>
    </w:tbl>
    <w:p w:rsidR="0061106F" w:rsidRDefault="0061106F" w:rsidP="0061106F">
      <w:pPr>
        <w:rPr>
          <w:rFonts w:asciiTheme="minorHAnsi" w:hAnsiTheme="minorHAnsi" w:cstheme="minorHAnsi"/>
        </w:rPr>
      </w:pPr>
    </w:p>
    <w:p w:rsidR="008F7DE5" w:rsidRDefault="008F7DE5" w:rsidP="00EE2E56">
      <w:pPr>
        <w:rPr>
          <w:rFonts w:asciiTheme="minorHAnsi" w:hAnsiTheme="minorHAnsi" w:cstheme="minorHAnsi"/>
        </w:rPr>
      </w:pPr>
    </w:p>
    <w:p w:rsidR="00880655" w:rsidRDefault="00880655" w:rsidP="00B648AC">
      <w:pPr>
        <w:jc w:val="both"/>
        <w:rPr>
          <w:rFonts w:asciiTheme="minorHAnsi" w:hAnsiTheme="minorHAnsi" w:cstheme="minorHAnsi"/>
        </w:rPr>
      </w:pPr>
      <w:r w:rsidRPr="00880655">
        <w:rPr>
          <w:rFonts w:asciiTheme="minorHAnsi" w:hAnsiTheme="minorHAnsi" w:cstheme="minorHAnsi"/>
        </w:rPr>
        <w:t xml:space="preserve">U nastavku navodimo obrazloženja stavki kod kojih </w:t>
      </w:r>
      <w:r w:rsidR="0029420D">
        <w:rPr>
          <w:rFonts w:asciiTheme="minorHAnsi" w:hAnsiTheme="minorHAnsi" w:cstheme="minorHAnsi"/>
        </w:rPr>
        <w:t>je bilo veće</w:t>
      </w:r>
      <w:r w:rsidRPr="00880655">
        <w:rPr>
          <w:rFonts w:asciiTheme="minorHAnsi" w:hAnsiTheme="minorHAnsi" w:cstheme="minorHAnsi"/>
        </w:rPr>
        <w:t xml:space="preserve"> odstupanje u odnosu na </w:t>
      </w:r>
      <w:r w:rsidR="00FF528D">
        <w:rPr>
          <w:rFonts w:asciiTheme="minorHAnsi" w:hAnsiTheme="minorHAnsi" w:cstheme="minorHAnsi"/>
        </w:rPr>
        <w:t>prethodno razdoblje:</w:t>
      </w:r>
    </w:p>
    <w:p w:rsidR="00EE2E56" w:rsidRDefault="00081D6C" w:rsidP="0061106F">
      <w:pPr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E4964">
        <w:rPr>
          <w:rFonts w:asciiTheme="minorHAnsi" w:hAnsiTheme="minorHAnsi" w:cstheme="minorHAnsi"/>
        </w:rPr>
        <w:t xml:space="preserve">Bilješka uz </w:t>
      </w:r>
      <w:r w:rsidR="0061106F">
        <w:rPr>
          <w:rFonts w:asciiTheme="minorHAnsi" w:hAnsiTheme="minorHAnsi" w:cstheme="minorHAnsi"/>
        </w:rPr>
        <w:t>Šifru 6526 – ostali nespomenuti prihodi</w:t>
      </w:r>
      <w:r w:rsidR="00FE4964">
        <w:rPr>
          <w:rFonts w:asciiTheme="minorHAnsi" w:hAnsiTheme="minorHAnsi" w:cstheme="minorHAnsi"/>
        </w:rPr>
        <w:t xml:space="preserve"> </w:t>
      </w:r>
      <w:r w:rsidR="00880655">
        <w:rPr>
          <w:rFonts w:asciiTheme="minorHAnsi" w:hAnsiTheme="minorHAnsi" w:cstheme="minorHAnsi"/>
        </w:rPr>
        <w:t>odnosi se na sufinanciranje cij</w:t>
      </w:r>
      <w:r w:rsidR="00977903">
        <w:rPr>
          <w:rFonts w:asciiTheme="minorHAnsi" w:hAnsiTheme="minorHAnsi" w:cstheme="minorHAnsi"/>
        </w:rPr>
        <w:t xml:space="preserve">ene </w:t>
      </w:r>
      <w:r w:rsidR="00C25DD4">
        <w:rPr>
          <w:rFonts w:asciiTheme="minorHAnsi" w:hAnsiTheme="minorHAnsi" w:cstheme="minorHAnsi"/>
        </w:rPr>
        <w:t>osiguranja učenika</w:t>
      </w:r>
      <w:r w:rsidR="00977903">
        <w:rPr>
          <w:rFonts w:asciiTheme="minorHAnsi" w:hAnsiTheme="minorHAnsi" w:cstheme="minorHAnsi"/>
        </w:rPr>
        <w:t xml:space="preserve"> te </w:t>
      </w:r>
      <w:r w:rsidR="0061106F">
        <w:rPr>
          <w:rFonts w:asciiTheme="minorHAnsi" w:hAnsiTheme="minorHAnsi" w:cstheme="minorHAnsi"/>
        </w:rPr>
        <w:t>izlete učenika</w:t>
      </w:r>
      <w:r w:rsidR="00FE616A">
        <w:rPr>
          <w:rFonts w:asciiTheme="minorHAnsi" w:hAnsiTheme="minorHAnsi" w:cstheme="minorHAnsi"/>
        </w:rPr>
        <w:t>.</w:t>
      </w:r>
      <w:r w:rsidR="0061106F">
        <w:rPr>
          <w:rFonts w:asciiTheme="minorHAnsi" w:hAnsiTheme="minorHAnsi" w:cstheme="minorHAnsi"/>
        </w:rPr>
        <w:t xml:space="preserve"> U prethodnom razdoblju zbog </w:t>
      </w:r>
      <w:r w:rsidR="00466621">
        <w:rPr>
          <w:rFonts w:asciiTheme="minorHAnsi" w:hAnsiTheme="minorHAnsi" w:cstheme="minorHAnsi"/>
        </w:rPr>
        <w:t>pandemije</w:t>
      </w:r>
      <w:r w:rsidR="0061106F">
        <w:rPr>
          <w:rFonts w:asciiTheme="minorHAnsi" w:hAnsiTheme="minorHAnsi" w:cstheme="minorHAnsi"/>
        </w:rPr>
        <w:t xml:space="preserve"> nisu organizirani izleti.</w:t>
      </w:r>
    </w:p>
    <w:p w:rsidR="00466621" w:rsidRDefault="0029420D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61106F">
        <w:rPr>
          <w:rFonts w:asciiTheme="minorHAnsi" w:hAnsiTheme="minorHAnsi" w:cstheme="minorHAnsi"/>
        </w:rPr>
        <w:t>Šifru 661</w:t>
      </w:r>
      <w:r w:rsidR="00466621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– Prihodi od prodaje proizvoda i robe</w:t>
      </w:r>
      <w:r w:rsidR="00466621">
        <w:rPr>
          <w:rFonts w:asciiTheme="minorHAnsi" w:hAnsiTheme="minorHAnsi" w:cstheme="minorHAnsi"/>
        </w:rPr>
        <w:t xml:space="preserve"> -</w:t>
      </w:r>
      <w:r w:rsidR="009779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Prihodi </w:t>
      </w:r>
      <w:r w:rsidR="00466621">
        <w:rPr>
          <w:rFonts w:asciiTheme="minorHAnsi" w:hAnsiTheme="minorHAnsi" w:cstheme="minorHAnsi"/>
        </w:rPr>
        <w:t xml:space="preserve">se </w:t>
      </w:r>
      <w:r>
        <w:rPr>
          <w:rFonts w:asciiTheme="minorHAnsi" w:hAnsiTheme="minorHAnsi" w:cstheme="minorHAnsi"/>
        </w:rPr>
        <w:t>odnose  na prodaju radova</w:t>
      </w:r>
      <w:r w:rsidR="00C25DD4">
        <w:rPr>
          <w:rFonts w:asciiTheme="minorHAnsi" w:hAnsiTheme="minorHAnsi" w:cstheme="minorHAnsi"/>
        </w:rPr>
        <w:t xml:space="preserve"> učeničke</w:t>
      </w:r>
      <w:r>
        <w:rPr>
          <w:rFonts w:asciiTheme="minorHAnsi" w:hAnsiTheme="minorHAnsi" w:cstheme="minorHAnsi"/>
        </w:rPr>
        <w:t xml:space="preserve"> zadruge</w:t>
      </w:r>
      <w:r w:rsidR="00C22AFB">
        <w:rPr>
          <w:rFonts w:asciiTheme="minorHAnsi" w:hAnsiTheme="minorHAnsi" w:cstheme="minorHAnsi"/>
        </w:rPr>
        <w:t>. Radovi su se prodavali prigodno za Uskrs i Božić što u prethodnom razdoblju nije bilo moguće zbog pandemije.</w:t>
      </w:r>
      <w:r w:rsidR="00977903">
        <w:rPr>
          <w:rFonts w:asciiTheme="minorHAnsi" w:hAnsiTheme="minorHAnsi" w:cstheme="minorHAnsi"/>
        </w:rPr>
        <w:t xml:space="preserve">  </w:t>
      </w:r>
    </w:p>
    <w:p w:rsidR="00CB0276" w:rsidRDefault="00466621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Šifru 6615 - </w:t>
      </w:r>
      <w:r w:rsidR="00C22AFB">
        <w:rPr>
          <w:rFonts w:asciiTheme="minorHAnsi" w:hAnsiTheme="minorHAnsi" w:cstheme="minorHAnsi"/>
        </w:rPr>
        <w:t>P</w:t>
      </w:r>
      <w:r w:rsidR="00977903">
        <w:rPr>
          <w:rFonts w:asciiTheme="minorHAnsi" w:hAnsiTheme="minorHAnsi" w:cstheme="minorHAnsi"/>
        </w:rPr>
        <w:t xml:space="preserve">rihodi od pruženih usluga </w:t>
      </w:r>
      <w:r>
        <w:rPr>
          <w:rFonts w:asciiTheme="minorHAnsi" w:hAnsiTheme="minorHAnsi" w:cstheme="minorHAnsi"/>
        </w:rPr>
        <w:t xml:space="preserve">- </w:t>
      </w:r>
      <w:r w:rsidR="00CB0276">
        <w:rPr>
          <w:rFonts w:asciiTheme="minorHAnsi" w:hAnsiTheme="minorHAnsi" w:cstheme="minorHAnsi"/>
        </w:rPr>
        <w:t>odnose se na najam prostora za samoposlužni aparat s toplim napitcima.</w:t>
      </w:r>
      <w:r w:rsidR="0061106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</w:t>
      </w:r>
      <w:r w:rsidR="0061106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početka </w:t>
      </w:r>
      <w:r w:rsidR="0061106F">
        <w:rPr>
          <w:rFonts w:asciiTheme="minorHAnsi" w:hAnsiTheme="minorHAnsi" w:cstheme="minorHAnsi"/>
        </w:rPr>
        <w:t xml:space="preserve">školske godine 2022/2023 </w:t>
      </w:r>
      <w:r>
        <w:rPr>
          <w:rFonts w:asciiTheme="minorHAnsi" w:hAnsiTheme="minorHAnsi" w:cstheme="minorHAnsi"/>
        </w:rPr>
        <w:t>ponovo se iznajmljuje</w:t>
      </w:r>
      <w:r w:rsidR="0061106F">
        <w:rPr>
          <w:rFonts w:asciiTheme="minorHAnsi" w:hAnsiTheme="minorHAnsi" w:cstheme="minorHAnsi"/>
        </w:rPr>
        <w:t xml:space="preserve"> sportska dvorana</w:t>
      </w:r>
      <w:r w:rsidR="00C22AFB">
        <w:rPr>
          <w:rFonts w:asciiTheme="minorHAnsi" w:hAnsiTheme="minorHAnsi" w:cstheme="minorHAnsi"/>
        </w:rPr>
        <w:t>.</w:t>
      </w:r>
    </w:p>
    <w:p w:rsidR="0029420D" w:rsidRDefault="00CB0276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663</w:t>
      </w:r>
      <w:r>
        <w:rPr>
          <w:rFonts w:asciiTheme="minorHAnsi" w:hAnsiTheme="minorHAnsi" w:cstheme="minorHAnsi"/>
        </w:rPr>
        <w:t xml:space="preserve"> -</w:t>
      </w:r>
      <w:r w:rsidR="0029420D">
        <w:rPr>
          <w:rFonts w:asciiTheme="minorHAnsi" w:hAnsiTheme="minorHAnsi" w:cstheme="minorHAnsi"/>
        </w:rPr>
        <w:t xml:space="preserve"> Donacije </w:t>
      </w:r>
      <w:r w:rsidR="00C22AFB">
        <w:rPr>
          <w:rFonts w:asciiTheme="minorHAnsi" w:hAnsiTheme="minorHAnsi" w:cstheme="minorHAnsi"/>
        </w:rPr>
        <w:t>- U</w:t>
      </w:r>
      <w:r>
        <w:rPr>
          <w:rFonts w:asciiTheme="minorHAnsi" w:hAnsiTheme="minorHAnsi" w:cstheme="minorHAnsi"/>
        </w:rPr>
        <w:t xml:space="preserve"> 2021</w:t>
      </w:r>
      <w:r w:rsidR="00FE4964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nabavljen je software za rad s djecom s posebnim potrebama</w:t>
      </w:r>
      <w:r w:rsidR="00C22AFB">
        <w:rPr>
          <w:rFonts w:asciiTheme="minorHAnsi" w:hAnsiTheme="minorHAnsi" w:cstheme="minorHAnsi"/>
        </w:rPr>
        <w:t>, a u 2022. godini opremljena je čajna kuhinja te su donirana sredstava za higijenu</w:t>
      </w:r>
      <w:r w:rsidR="0029420D">
        <w:rPr>
          <w:rFonts w:asciiTheme="minorHAnsi" w:hAnsiTheme="minorHAnsi" w:cstheme="minorHAnsi"/>
        </w:rPr>
        <w:t>.</w:t>
      </w:r>
    </w:p>
    <w:p w:rsidR="00C46810" w:rsidRDefault="00C46810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6712</w:t>
      </w:r>
      <w:r>
        <w:rPr>
          <w:rFonts w:asciiTheme="minorHAnsi" w:hAnsiTheme="minorHAnsi" w:cstheme="minorHAnsi"/>
        </w:rPr>
        <w:t xml:space="preserve"> -  Prihodi iz nadležnog proračuna za financiranje </w:t>
      </w:r>
      <w:r w:rsidR="00C22AFB">
        <w:rPr>
          <w:rFonts w:asciiTheme="minorHAnsi" w:hAnsiTheme="minorHAnsi" w:cstheme="minorHAnsi"/>
        </w:rPr>
        <w:t>rashoda za nabavu nefinancijske imovine</w:t>
      </w:r>
      <w:r>
        <w:rPr>
          <w:rFonts w:asciiTheme="minorHAnsi" w:hAnsiTheme="minorHAnsi" w:cstheme="minorHAnsi"/>
        </w:rPr>
        <w:t xml:space="preserve"> – </w:t>
      </w:r>
      <w:r w:rsidR="00C22AFB">
        <w:rPr>
          <w:rFonts w:asciiTheme="minorHAnsi" w:hAnsiTheme="minorHAnsi" w:cstheme="minorHAnsi"/>
        </w:rPr>
        <w:t>kupljeno je zemljište za izgradnju novog Centra</w:t>
      </w:r>
    </w:p>
    <w:p w:rsidR="00CB0276" w:rsidRDefault="00CB0276" w:rsidP="00CB0276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3113</w:t>
      </w:r>
      <w:r>
        <w:rPr>
          <w:rFonts w:asciiTheme="minorHAnsi" w:hAnsiTheme="minorHAnsi" w:cstheme="minorHAnsi"/>
        </w:rPr>
        <w:t xml:space="preserve"> – Plaće za prekovremeni rad – zbog </w:t>
      </w:r>
      <w:r w:rsidR="00C46810">
        <w:rPr>
          <w:rFonts w:asciiTheme="minorHAnsi" w:hAnsiTheme="minorHAnsi" w:cstheme="minorHAnsi"/>
        </w:rPr>
        <w:t>većeg broja bolovanja bilo je i više zamjena, odnosno</w:t>
      </w:r>
      <w:r>
        <w:rPr>
          <w:rFonts w:asciiTheme="minorHAnsi" w:hAnsiTheme="minorHAnsi" w:cstheme="minorHAnsi"/>
        </w:rPr>
        <w:t xml:space="preserve"> prekovremenog rada </w:t>
      </w:r>
    </w:p>
    <w:p w:rsidR="00150BDA" w:rsidRDefault="00880655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312</w:t>
      </w:r>
      <w:r w:rsidR="00287B8E">
        <w:rPr>
          <w:rFonts w:asciiTheme="minorHAnsi" w:hAnsiTheme="minorHAnsi" w:cstheme="minorHAnsi"/>
        </w:rPr>
        <w:t xml:space="preserve"> – </w:t>
      </w:r>
      <w:r w:rsidR="00150BDA">
        <w:rPr>
          <w:rFonts w:asciiTheme="minorHAnsi" w:hAnsiTheme="minorHAnsi" w:cstheme="minorHAnsi"/>
        </w:rPr>
        <w:t xml:space="preserve">ostali rashodi za zaposlene </w:t>
      </w:r>
      <w:r w:rsidR="00B75B75">
        <w:rPr>
          <w:rFonts w:asciiTheme="minorHAnsi" w:hAnsiTheme="minorHAnsi" w:cstheme="minorHAnsi"/>
        </w:rPr>
        <w:t>– povećan je broj zaposlenih pomoćnika u nastavi.</w:t>
      </w:r>
      <w:r w:rsidR="006C752F">
        <w:rPr>
          <w:rFonts w:asciiTheme="minorHAnsi" w:hAnsiTheme="minorHAnsi" w:cstheme="minorHAnsi"/>
        </w:rPr>
        <w:t xml:space="preserve"> Također, veći su i troškovi </w:t>
      </w:r>
      <w:r w:rsidR="00C46810">
        <w:rPr>
          <w:rFonts w:asciiTheme="minorHAnsi" w:hAnsiTheme="minorHAnsi" w:cstheme="minorHAnsi"/>
        </w:rPr>
        <w:t>materijalnih prava zaposlenika</w:t>
      </w:r>
      <w:r w:rsidR="00B75B75">
        <w:rPr>
          <w:rFonts w:asciiTheme="minorHAnsi" w:hAnsiTheme="minorHAnsi" w:cstheme="minorHAnsi"/>
        </w:rPr>
        <w:t xml:space="preserve"> jer su po Kolektivnom ugovoru povećani </w:t>
      </w:r>
      <w:r w:rsidR="006C752F">
        <w:rPr>
          <w:rFonts w:asciiTheme="minorHAnsi" w:hAnsiTheme="minorHAnsi" w:cstheme="minorHAnsi"/>
        </w:rPr>
        <w:t>božićnic</w:t>
      </w:r>
      <w:r w:rsidR="00C46810">
        <w:rPr>
          <w:rFonts w:asciiTheme="minorHAnsi" w:hAnsiTheme="minorHAnsi" w:cstheme="minorHAnsi"/>
        </w:rPr>
        <w:t>a</w:t>
      </w:r>
      <w:r w:rsidR="00B75B75">
        <w:rPr>
          <w:rFonts w:asciiTheme="minorHAnsi" w:hAnsiTheme="minorHAnsi" w:cstheme="minorHAnsi"/>
        </w:rPr>
        <w:t xml:space="preserve"> i</w:t>
      </w:r>
      <w:r w:rsidR="00C46810">
        <w:rPr>
          <w:rFonts w:asciiTheme="minorHAnsi" w:hAnsiTheme="minorHAnsi" w:cstheme="minorHAnsi"/>
        </w:rPr>
        <w:t xml:space="preserve"> </w:t>
      </w:r>
      <w:r w:rsidR="006C752F">
        <w:rPr>
          <w:rFonts w:asciiTheme="minorHAnsi" w:hAnsiTheme="minorHAnsi" w:cstheme="minorHAnsi"/>
        </w:rPr>
        <w:t xml:space="preserve"> </w:t>
      </w:r>
      <w:r w:rsidR="00B75B75">
        <w:rPr>
          <w:rFonts w:asciiTheme="minorHAnsi" w:hAnsiTheme="minorHAnsi" w:cstheme="minorHAnsi"/>
        </w:rPr>
        <w:t>dar za djecu</w:t>
      </w:r>
      <w:r w:rsidR="006C752F">
        <w:rPr>
          <w:rFonts w:asciiTheme="minorHAnsi" w:hAnsiTheme="minorHAnsi" w:cstheme="minorHAnsi"/>
        </w:rPr>
        <w:t>.</w:t>
      </w:r>
    </w:p>
    <w:p w:rsidR="00B75B75" w:rsidRDefault="00150BDA" w:rsidP="0046662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B75B75">
        <w:rPr>
          <w:rFonts w:asciiTheme="minorHAnsi" w:hAnsiTheme="minorHAnsi" w:cstheme="minorHAnsi"/>
        </w:rPr>
        <w:t>Šifru 321</w:t>
      </w:r>
      <w:r>
        <w:rPr>
          <w:rFonts w:asciiTheme="minorHAnsi" w:hAnsiTheme="minorHAnsi" w:cstheme="minorHAnsi"/>
        </w:rPr>
        <w:t xml:space="preserve"> – </w:t>
      </w:r>
      <w:r w:rsidR="001D3B95">
        <w:rPr>
          <w:rFonts w:asciiTheme="minorHAnsi" w:hAnsiTheme="minorHAnsi" w:cstheme="minorHAnsi"/>
        </w:rPr>
        <w:t xml:space="preserve">Naknade troškova zaposlenicima - </w:t>
      </w:r>
      <w:r>
        <w:rPr>
          <w:rFonts w:asciiTheme="minorHAnsi" w:hAnsiTheme="minorHAnsi" w:cstheme="minorHAnsi"/>
        </w:rPr>
        <w:t xml:space="preserve">Naknade </w:t>
      </w:r>
      <w:r w:rsidR="00B75B75">
        <w:rPr>
          <w:rFonts w:asciiTheme="minorHAnsi" w:hAnsiTheme="minorHAnsi" w:cstheme="minorHAnsi"/>
        </w:rPr>
        <w:t>za prijevoz, rad na terenu i odvojeni život</w:t>
      </w:r>
      <w:r>
        <w:rPr>
          <w:rFonts w:asciiTheme="minorHAnsi" w:hAnsiTheme="minorHAnsi" w:cstheme="minorHAnsi"/>
        </w:rPr>
        <w:t xml:space="preserve"> –</w:t>
      </w:r>
      <w:r w:rsidR="00B75B75">
        <w:rPr>
          <w:rFonts w:asciiTheme="minorHAnsi" w:hAnsiTheme="minorHAnsi" w:cstheme="minorHAnsi"/>
        </w:rPr>
        <w:t xml:space="preserve">prema Kolektivnom ugovoru povećana je naknada za prijevoz </w:t>
      </w:r>
      <w:r w:rsidR="00B75B75">
        <w:rPr>
          <w:rFonts w:asciiTheme="minorHAnsi" w:hAnsiTheme="minorHAnsi" w:cstheme="minorHAnsi"/>
        </w:rPr>
        <w:lastRenderedPageBreak/>
        <w:t>djelatnika</w:t>
      </w:r>
      <w:r w:rsidR="00466621">
        <w:rPr>
          <w:rFonts w:asciiTheme="minorHAnsi" w:hAnsiTheme="minorHAnsi" w:cstheme="minorHAnsi"/>
        </w:rPr>
        <w:t xml:space="preserve">. </w:t>
      </w:r>
      <w:r w:rsidR="00B75B75">
        <w:rPr>
          <w:rFonts w:asciiTheme="minorHAnsi" w:hAnsiTheme="minorHAnsi" w:cstheme="minorHAnsi"/>
        </w:rPr>
        <w:t>Stručno usavršavanje zaposlenika</w:t>
      </w:r>
      <w:r w:rsidR="001D3B95">
        <w:rPr>
          <w:rFonts w:asciiTheme="minorHAnsi" w:hAnsiTheme="minorHAnsi" w:cstheme="minorHAnsi"/>
        </w:rPr>
        <w:t xml:space="preserve"> te ostale naknade troškova zaposlenima</w:t>
      </w:r>
      <w:r w:rsidR="00B75B75">
        <w:rPr>
          <w:rFonts w:asciiTheme="minorHAnsi" w:hAnsiTheme="minorHAnsi" w:cstheme="minorHAnsi"/>
        </w:rPr>
        <w:t xml:space="preserve">– </w:t>
      </w:r>
      <w:r w:rsidR="001D3B95">
        <w:rPr>
          <w:rFonts w:asciiTheme="minorHAnsi" w:hAnsiTheme="minorHAnsi" w:cstheme="minorHAnsi"/>
        </w:rPr>
        <w:t>u prethodnom razdoblju su bili veći izdaci za stručno usavršavanje jer su u</w:t>
      </w:r>
      <w:r w:rsidR="00B75B75">
        <w:rPr>
          <w:rFonts w:asciiTheme="minorHAnsi" w:hAnsiTheme="minorHAnsi" w:cstheme="minorHAnsi"/>
        </w:rPr>
        <w:t xml:space="preserve"> 2021. godini stručni djelatnici polazili  edukaciju iz rane intervencije</w:t>
      </w:r>
      <w:r w:rsidR="00466621">
        <w:rPr>
          <w:rFonts w:asciiTheme="minorHAnsi" w:hAnsiTheme="minorHAnsi" w:cstheme="minorHAnsi"/>
        </w:rPr>
        <w:t>.</w:t>
      </w:r>
    </w:p>
    <w:p w:rsidR="001D3B95" w:rsidRDefault="001D3B95" w:rsidP="001D3B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3224 – materijal i dijelovi za tekuće i investicijsko održavanje – sredstva su utrošena za izradu arhive i popravke na zgradi i opremi</w:t>
      </w:r>
    </w:p>
    <w:p w:rsidR="001D3B95" w:rsidRPr="001D3B95" w:rsidRDefault="00287B8E" w:rsidP="001D3B95">
      <w:pPr>
        <w:ind w:firstLine="708"/>
        <w:jc w:val="both"/>
        <w:rPr>
          <w:rFonts w:asciiTheme="minorHAnsi" w:hAnsiTheme="minorHAnsi" w:cstheme="minorHAnsi"/>
        </w:rPr>
      </w:pPr>
      <w:r w:rsidRPr="001D3B95">
        <w:rPr>
          <w:rFonts w:asciiTheme="minorHAnsi" w:hAnsiTheme="minorHAnsi" w:cstheme="minorHAnsi"/>
        </w:rPr>
        <w:t xml:space="preserve">Bilješka uz </w:t>
      </w:r>
      <w:r w:rsidR="001D3B95" w:rsidRPr="001D3B95">
        <w:rPr>
          <w:rFonts w:asciiTheme="minorHAnsi" w:hAnsiTheme="minorHAnsi" w:cstheme="minorHAnsi"/>
        </w:rPr>
        <w:t>Šifru 3231</w:t>
      </w:r>
      <w:r w:rsidRPr="001D3B95">
        <w:rPr>
          <w:rFonts w:asciiTheme="minorHAnsi" w:hAnsiTheme="minorHAnsi" w:cstheme="minorHAnsi"/>
        </w:rPr>
        <w:t xml:space="preserve"> – usluge telefona, pošte i prijevoza – </w:t>
      </w:r>
      <w:r w:rsidR="001D3B95" w:rsidRPr="001D3B95">
        <w:rPr>
          <w:rFonts w:asciiTheme="minorHAnsi" w:hAnsiTheme="minorHAnsi" w:cstheme="minorHAnsi"/>
        </w:rPr>
        <w:t>povećanje se odnosi na prijevoz učenika od strane ovlaštenog prijevoznika – cijena je povećana zbog poskupljenja goriva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3232 – usluge tekućeg i investicijskog održavanja – uz redovne popravke i servise opreme promijenjena su jedna vrata i instalirana je zaštita za radijatore u učionicama</w:t>
      </w:r>
      <w:r>
        <w:rPr>
          <w:rFonts w:asciiTheme="minorHAnsi" w:hAnsiTheme="minorHAnsi" w:cstheme="minorHAnsi"/>
        </w:rPr>
        <w:t>, dok je u prethodnom razdoblju uređeno dječje igralište</w:t>
      </w:r>
      <w:r w:rsidRPr="00401149">
        <w:rPr>
          <w:rFonts w:asciiTheme="minorHAnsi" w:hAnsiTheme="minorHAnsi" w:cstheme="minorHAnsi"/>
        </w:rPr>
        <w:t>.</w:t>
      </w:r>
    </w:p>
    <w:p w:rsidR="006371EA" w:rsidRDefault="006371EA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</w:t>
      </w:r>
      <w:r w:rsidR="00401149">
        <w:rPr>
          <w:rFonts w:asciiTheme="minorHAnsi" w:hAnsiTheme="minorHAnsi" w:cstheme="minorHAnsi"/>
        </w:rPr>
        <w:t>uz Šifru 3233</w:t>
      </w:r>
      <w:r>
        <w:rPr>
          <w:rFonts w:asciiTheme="minorHAnsi" w:hAnsiTheme="minorHAnsi" w:cstheme="minorHAnsi"/>
        </w:rPr>
        <w:t xml:space="preserve"> – usluge promidžbe i informiranja –  </w:t>
      </w:r>
      <w:r w:rsidR="00401149">
        <w:rPr>
          <w:rFonts w:asciiTheme="minorHAnsi" w:hAnsiTheme="minorHAnsi" w:cstheme="minorHAnsi"/>
        </w:rPr>
        <w:t>trošak prethodnog razdoblja</w:t>
      </w:r>
      <w:r>
        <w:rPr>
          <w:rFonts w:asciiTheme="minorHAnsi" w:hAnsiTheme="minorHAnsi" w:cstheme="minorHAnsi"/>
        </w:rPr>
        <w:t xml:space="preserve"> </w:t>
      </w:r>
      <w:r w:rsidR="00401149">
        <w:rPr>
          <w:rFonts w:asciiTheme="minorHAnsi" w:hAnsiTheme="minorHAnsi" w:cstheme="minorHAnsi"/>
        </w:rPr>
        <w:t xml:space="preserve">je veći jer </w:t>
      </w:r>
      <w:r>
        <w:rPr>
          <w:rFonts w:asciiTheme="minorHAnsi" w:hAnsiTheme="minorHAnsi" w:cstheme="minorHAnsi"/>
        </w:rPr>
        <w:t xml:space="preserve">se odnosi na oglašavanje natječaja za izbor ravnatelja Centra.  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</w:t>
      </w:r>
      <w:r w:rsidRPr="00401149">
        <w:rPr>
          <w:rFonts w:asciiTheme="minorHAnsi" w:hAnsiTheme="minorHAnsi" w:cstheme="minorHAnsi"/>
        </w:rPr>
        <w:t>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3234 – komunalne usluge – zbog kvara na instalaciji</w:t>
      </w:r>
      <w:r>
        <w:rPr>
          <w:rFonts w:asciiTheme="minorHAnsi" w:hAnsiTheme="minorHAnsi" w:cstheme="minorHAnsi"/>
        </w:rPr>
        <w:t xml:space="preserve"> </w:t>
      </w:r>
      <w:r w:rsidRPr="00401149">
        <w:rPr>
          <w:rFonts w:asciiTheme="minorHAnsi" w:hAnsiTheme="minorHAnsi" w:cstheme="minorHAnsi"/>
        </w:rPr>
        <w:t>je bila veća potrošnja vode</w:t>
      </w:r>
    </w:p>
    <w:p w:rsidR="00401149" w:rsidRDefault="00401149" w:rsidP="00ED712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329 - ostali nespomenuti rashodi poslovanja – troškovi obuhvaćaju povećanje premija osiguranja (zgrada je osigurana i od potresa) te reprezentaciju ( Ugošćivanje ravnatelja Centra za odgoj i obrazovanje Tomislav Špoljar iz Varaždina, obilježavanje Dana Centra).   Ostali nespomenuti rashodi se odnose na izradu geodetskog snimka i troškove izleta učenika, a </w:t>
      </w:r>
      <w:r w:rsidR="00ED712C">
        <w:rPr>
          <w:rFonts w:asciiTheme="minorHAnsi" w:hAnsiTheme="minorHAnsi" w:cstheme="minorHAnsi"/>
        </w:rPr>
        <w:t>u prethodnom razdoblju na projektnu dokumentaciju za preuređenje prostora te nadzor nad radovima</w:t>
      </w:r>
      <w:r w:rsidRPr="00401149">
        <w:rPr>
          <w:rFonts w:asciiTheme="minorHAnsi" w:hAnsiTheme="minorHAnsi" w:cstheme="minorHAnsi"/>
        </w:rPr>
        <w:t>.</w:t>
      </w:r>
    </w:p>
    <w:p w:rsidR="00286955" w:rsidRDefault="00286955" w:rsidP="002869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4</w:t>
      </w:r>
      <w:r>
        <w:rPr>
          <w:rFonts w:asciiTheme="minorHAnsi" w:hAnsiTheme="minorHAnsi" w:cstheme="minorHAnsi"/>
        </w:rPr>
        <w:t xml:space="preserve"> – Rashodi za nabavu nefinancijske imovine – </w:t>
      </w:r>
      <w:r w:rsidR="00ED712C">
        <w:rPr>
          <w:rFonts w:asciiTheme="minorHAnsi" w:hAnsiTheme="minorHAnsi" w:cstheme="minorHAnsi"/>
        </w:rPr>
        <w:t>u prethodnom razdoblju troškovi se odnose</w:t>
      </w:r>
      <w:r>
        <w:rPr>
          <w:rFonts w:asciiTheme="minorHAnsi" w:hAnsiTheme="minorHAnsi" w:cstheme="minorHAnsi"/>
        </w:rPr>
        <w:t xml:space="preserve"> opremanje dječjeg igrališta i dodatna ulaganja u objekt – adaptaciju učionica</w:t>
      </w:r>
      <w:r w:rsidR="00ED712C">
        <w:rPr>
          <w:rFonts w:asciiTheme="minorHAnsi" w:hAnsiTheme="minorHAnsi" w:cstheme="minorHAnsi"/>
        </w:rPr>
        <w:t>, dok je u 2022. godini kupljeno zemljište za izgradnju novog Centra, opremljena je soba medicinske i arhiva</w:t>
      </w:r>
      <w:r>
        <w:rPr>
          <w:rFonts w:asciiTheme="minorHAnsi" w:hAnsiTheme="minorHAnsi" w:cstheme="minorHAnsi"/>
        </w:rPr>
        <w:t>.</w:t>
      </w:r>
    </w:p>
    <w:p w:rsidR="00CD6EC3" w:rsidRPr="00286955" w:rsidRDefault="00286955" w:rsidP="00B648AC">
      <w:pPr>
        <w:rPr>
          <w:rFonts w:asciiTheme="minorHAnsi" w:hAnsiTheme="minorHAnsi" w:cstheme="minorHAnsi"/>
        </w:rPr>
      </w:pPr>
      <w:r w:rsidRPr="00286955">
        <w:rPr>
          <w:rFonts w:asciiTheme="minorHAnsi" w:hAnsiTheme="minorHAnsi" w:cstheme="minorHAnsi"/>
        </w:rPr>
        <w:tab/>
      </w:r>
    </w:p>
    <w:p w:rsidR="00CD6EC3" w:rsidRDefault="00CD6EC3" w:rsidP="00B648AC"/>
    <w:p w:rsidR="00CD6EC3" w:rsidRDefault="00CD6EC3" w:rsidP="00B648AC"/>
    <w:p w:rsidR="00CD6EC3" w:rsidRDefault="00CD6EC3" w:rsidP="00B648AC"/>
    <w:p w:rsidR="00B648AC" w:rsidRPr="00A821CA" w:rsidRDefault="00A821CA" w:rsidP="00A821CA">
      <w:pPr>
        <w:ind w:left="360"/>
        <w:jc w:val="both"/>
        <w:rPr>
          <w:rFonts w:asciiTheme="minorHAnsi" w:hAnsiTheme="minorHAnsi" w:cstheme="minorHAnsi"/>
        </w:rPr>
      </w:pPr>
      <w:r w:rsidRPr="00A821CA">
        <w:rPr>
          <w:rFonts w:asciiTheme="minorHAnsi" w:hAnsiTheme="minorHAnsi" w:cstheme="minorHAnsi"/>
          <w:b/>
        </w:rPr>
        <w:t xml:space="preserve">3. </w:t>
      </w:r>
      <w:r w:rsidR="00AC136A" w:rsidRPr="00A821CA">
        <w:rPr>
          <w:rFonts w:asciiTheme="minorHAnsi" w:hAnsiTheme="minorHAnsi" w:cstheme="minorHAnsi"/>
          <w:b/>
        </w:rPr>
        <w:t>Bilješke uz izvještaj o rashodima prema funkcijskoj klasifikaciji – obrazac RAS - funkcijski</w:t>
      </w:r>
    </w:p>
    <w:p w:rsidR="00B648AC" w:rsidRDefault="00B648AC" w:rsidP="00B648AC">
      <w:pPr>
        <w:jc w:val="both"/>
      </w:pPr>
    </w:p>
    <w:p w:rsidR="00AB6832" w:rsidRDefault="005372F3" w:rsidP="00B648AC">
      <w:pPr>
        <w:jc w:val="both"/>
      </w:pPr>
      <w:r>
        <w:tab/>
      </w:r>
    </w:p>
    <w:p w:rsidR="00B648AC" w:rsidRPr="00AB6832" w:rsidRDefault="005372F3" w:rsidP="00AB6832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0912 – Osnovno obrazovanje</w:t>
      </w:r>
    </w:p>
    <w:p w:rsidR="00B648AC" w:rsidRPr="00AB6832" w:rsidRDefault="00B648AC" w:rsidP="00B648AC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Centar za odgoj i obrazovanje Krapinske Toplice s obzirom na djelatnost – osnovno obrazovanje podatke o rashodima u obrascu prikazuje na funkciji 0912 Osnovno obrazovanje.</w:t>
      </w:r>
    </w:p>
    <w:p w:rsidR="00AB6832" w:rsidRDefault="00AB6832" w:rsidP="005372F3">
      <w:pPr>
        <w:ind w:firstLine="708"/>
        <w:jc w:val="both"/>
        <w:rPr>
          <w:rFonts w:asciiTheme="minorHAnsi" w:hAnsiTheme="minorHAnsi" w:cstheme="minorHAnsi"/>
        </w:rPr>
      </w:pPr>
    </w:p>
    <w:p w:rsidR="005372F3" w:rsidRPr="00AB6832" w:rsidRDefault="005372F3" w:rsidP="005372F3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8A4066">
        <w:rPr>
          <w:rFonts w:asciiTheme="minorHAnsi" w:hAnsiTheme="minorHAnsi" w:cstheme="minorHAnsi"/>
        </w:rPr>
        <w:t>Šifru 096</w:t>
      </w:r>
    </w:p>
    <w:p w:rsidR="00B648AC" w:rsidRDefault="00B648AC" w:rsidP="005372F3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U okviru funkcije 096 Dodatne usluge u obrazovanju iskazujemo troškove prehrane</w:t>
      </w:r>
      <w:r w:rsidR="00C32569" w:rsidRPr="00AB6832">
        <w:rPr>
          <w:rFonts w:asciiTheme="minorHAnsi" w:hAnsiTheme="minorHAnsi" w:cstheme="minorHAnsi"/>
        </w:rPr>
        <w:t>, prijevoza djece te nabavu radnih bilježnica i udžbenika.</w:t>
      </w:r>
    </w:p>
    <w:p w:rsidR="00983A5B" w:rsidRDefault="00983A5B" w:rsidP="005372F3">
      <w:pPr>
        <w:jc w:val="both"/>
        <w:rPr>
          <w:rFonts w:asciiTheme="minorHAnsi" w:hAnsiTheme="minorHAnsi" w:cstheme="minorHAnsi"/>
        </w:rPr>
      </w:pPr>
    </w:p>
    <w:tbl>
      <w:tblPr>
        <w:tblW w:w="8572" w:type="dxa"/>
        <w:tblLook w:val="04A0" w:firstRow="1" w:lastRow="0" w:firstColumn="1" w:lastColumn="0" w:noHBand="0" w:noVBand="1"/>
      </w:tblPr>
      <w:tblGrid>
        <w:gridCol w:w="1260"/>
        <w:gridCol w:w="4300"/>
        <w:gridCol w:w="1506"/>
        <w:gridCol w:w="1506"/>
      </w:tblGrid>
      <w:tr w:rsidR="00983A5B" w:rsidTr="009507C2">
        <w:trPr>
          <w:trHeight w:val="31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Red.br.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2022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poslovanja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9.257.249,33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9.769.234,64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za nabavu nefinancijske imovine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745.806,93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1.876.266,29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Rashodi ukupno = 1+2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10.003.056,26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11.645.500,93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Usluge prijevoza učenika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438.000,00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602.288,40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cijene prijevoza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506.097,81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540.497,08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Prehrana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154.064,47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171.724,19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Udžbenici i radni udžbenici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36.619,05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46.887,19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Dodatne usluge u obrazovanju = 4+5+6+7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1.134.781,33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1.361.396,86</w:t>
            </w:r>
          </w:p>
        </w:tc>
      </w:tr>
      <w:tr w:rsidR="00983A5B" w:rsidTr="009507C2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Default="00983A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Osnovno obrazovanje = 3-8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8.868.274,93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A5B" w:rsidRPr="00983A5B" w:rsidRDefault="00983A5B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83A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10.284.104,07</w:t>
            </w:r>
          </w:p>
        </w:tc>
      </w:tr>
    </w:tbl>
    <w:p w:rsidR="005372F3" w:rsidRDefault="005372F3" w:rsidP="005372F3">
      <w:pPr>
        <w:rPr>
          <w:rFonts w:asciiTheme="minorHAnsi" w:hAnsiTheme="minorHAnsi" w:cstheme="minorHAnsi"/>
        </w:rPr>
      </w:pPr>
    </w:p>
    <w:p w:rsidR="008A4066" w:rsidRDefault="008A4066" w:rsidP="005372F3">
      <w:pPr>
        <w:rPr>
          <w:rFonts w:asciiTheme="minorHAnsi" w:hAnsiTheme="minorHAnsi" w:cstheme="minorHAnsi"/>
        </w:rPr>
      </w:pPr>
    </w:p>
    <w:p w:rsidR="00097B4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4. Bilješke uz izvještaj o promjenama u vrijednosti i obujmu imovine i obveza – Obrazac </w:t>
      </w:r>
    </w:p>
    <w:p w:rsidR="00097B4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P-VRIO</w:t>
      </w:r>
    </w:p>
    <w:p w:rsidR="005372F3" w:rsidRDefault="005372F3" w:rsidP="005372F3">
      <w:pPr>
        <w:jc w:val="both"/>
      </w:pPr>
      <w:r>
        <w:tab/>
      </w:r>
    </w:p>
    <w:p w:rsidR="00810356" w:rsidRDefault="00097B44" w:rsidP="00810356">
      <w:pPr>
        <w:jc w:val="both"/>
        <w:rPr>
          <w:rFonts w:asciiTheme="minorHAnsi" w:hAnsiTheme="minorHAnsi" w:cstheme="minorHAnsi"/>
        </w:rPr>
      </w:pPr>
      <w:r>
        <w:tab/>
      </w:r>
      <w:r w:rsidR="006659A7" w:rsidRPr="00097B44">
        <w:rPr>
          <w:rFonts w:asciiTheme="minorHAnsi" w:hAnsiTheme="minorHAnsi" w:cstheme="minorHAnsi"/>
        </w:rPr>
        <w:tab/>
      </w:r>
      <w:r w:rsidR="00810356">
        <w:rPr>
          <w:rFonts w:asciiTheme="minorHAnsi" w:hAnsiTheme="minorHAnsi" w:cstheme="minorHAnsi"/>
        </w:rPr>
        <w:t>Povećanje proizvedene kratkotrajne imovine u Obrascu P-VRIO odnosi se na:</w:t>
      </w:r>
    </w:p>
    <w:p w:rsidR="00810356" w:rsidRDefault="00810356" w:rsidP="00810356">
      <w:pPr>
        <w:pStyle w:val="Odlomakpopisa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1.000,0 kn</w:t>
      </w:r>
      <w:r w:rsidRPr="0086531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- </w:t>
      </w:r>
      <w:r w:rsidRPr="00865312">
        <w:rPr>
          <w:rFonts w:asciiTheme="minorHAnsi" w:hAnsiTheme="minorHAnsi" w:cstheme="minorHAnsi"/>
        </w:rPr>
        <w:t>didaktički materijal iz područja prometne kulture primljen od Krapinsko-zagorske županije</w:t>
      </w:r>
    </w:p>
    <w:p w:rsidR="00810356" w:rsidRPr="00865312" w:rsidRDefault="00810356" w:rsidP="00810356">
      <w:pPr>
        <w:pStyle w:val="Odlomakpopisa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1.442,54 kn – testovi za COVID-19 dobiveni od MUP-a</w:t>
      </w:r>
      <w:r w:rsidRPr="00865312">
        <w:rPr>
          <w:rFonts w:asciiTheme="minorHAnsi" w:hAnsiTheme="minorHAnsi" w:cstheme="minorHAnsi"/>
        </w:rPr>
        <w:t>.</w:t>
      </w:r>
    </w:p>
    <w:p w:rsidR="004C12E8" w:rsidRDefault="004C12E8" w:rsidP="00810356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4C12E8" w:rsidRDefault="004C12E8" w:rsidP="004C12E8">
      <w:pPr>
        <w:rPr>
          <w:rFonts w:asciiTheme="minorHAnsi" w:hAnsiTheme="minorHAnsi" w:cstheme="minorHAnsi"/>
        </w:rPr>
      </w:pPr>
    </w:p>
    <w:p w:rsidR="000F2B76" w:rsidRDefault="000F2B76" w:rsidP="004C12E8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5. Bilješke uz izvještaj o obvezama – Obrazac Obveze</w:t>
      </w:r>
    </w:p>
    <w:p w:rsidR="005372F3" w:rsidRDefault="005372F3" w:rsidP="004C12E8">
      <w:pPr>
        <w:jc w:val="both"/>
      </w:pPr>
      <w:r>
        <w:tab/>
      </w:r>
    </w:p>
    <w:p w:rsidR="00C07C8B" w:rsidRPr="000F2B76" w:rsidRDefault="00C07C8B" w:rsidP="004C12E8">
      <w:pPr>
        <w:jc w:val="both"/>
        <w:rPr>
          <w:rFonts w:asciiTheme="minorHAnsi" w:hAnsiTheme="minorHAnsi" w:cstheme="minorHAnsi"/>
        </w:rPr>
      </w:pPr>
      <w:r>
        <w:tab/>
      </w:r>
      <w:r w:rsidRPr="000F2B76">
        <w:rPr>
          <w:rFonts w:asciiTheme="minorHAnsi" w:hAnsiTheme="minorHAnsi" w:cstheme="minorHAnsi"/>
        </w:rPr>
        <w:t xml:space="preserve">Bilješka </w:t>
      </w:r>
      <w:r w:rsidR="00F9667D">
        <w:rPr>
          <w:rFonts w:asciiTheme="minorHAnsi" w:hAnsiTheme="minorHAnsi" w:cstheme="minorHAnsi"/>
        </w:rPr>
        <w:t>uz Šifru V001</w:t>
      </w:r>
      <w:r w:rsidRPr="000F2B76">
        <w:rPr>
          <w:rFonts w:asciiTheme="minorHAnsi" w:hAnsiTheme="minorHAnsi" w:cstheme="minorHAnsi"/>
        </w:rPr>
        <w:t xml:space="preserve"> – Stanje obveza 1. siječnja 20</w:t>
      </w:r>
      <w:r w:rsidR="00B55620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2</w:t>
      </w:r>
      <w:r w:rsidRPr="000F2B76">
        <w:rPr>
          <w:rFonts w:asciiTheme="minorHAnsi" w:hAnsiTheme="minorHAnsi" w:cstheme="minorHAnsi"/>
        </w:rPr>
        <w:t>.</w:t>
      </w:r>
    </w:p>
    <w:p w:rsidR="00DD27DA" w:rsidRPr="000F2B76" w:rsidRDefault="00DD27DA" w:rsidP="00DD27DA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Stanje obveza </w:t>
      </w:r>
      <w:r w:rsidR="00E36379" w:rsidRPr="000F2B76">
        <w:rPr>
          <w:rFonts w:asciiTheme="minorHAnsi" w:hAnsiTheme="minorHAnsi" w:cstheme="minorHAnsi"/>
        </w:rPr>
        <w:t>na dan 01.01.20</w:t>
      </w:r>
      <w:r w:rsidR="00442B9D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2</w:t>
      </w:r>
      <w:r w:rsidR="00E36379" w:rsidRPr="000F2B76">
        <w:rPr>
          <w:rFonts w:asciiTheme="minorHAnsi" w:hAnsiTheme="minorHAnsi" w:cstheme="minorHAnsi"/>
        </w:rPr>
        <w:t>.</w:t>
      </w:r>
      <w:r w:rsidRPr="000F2B76">
        <w:rPr>
          <w:rFonts w:asciiTheme="minorHAnsi" w:hAnsiTheme="minorHAnsi" w:cstheme="minorHAnsi"/>
        </w:rPr>
        <w:t xml:space="preserve"> odnosi se na: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F9667D">
        <w:rPr>
          <w:rFonts w:asciiTheme="minorHAnsi" w:hAnsiTheme="minorHAnsi" w:cstheme="minorHAnsi"/>
        </w:rPr>
        <w:t>583.318,02</w:t>
      </w:r>
      <w:r w:rsidRPr="000F2B76">
        <w:rPr>
          <w:rFonts w:asciiTheme="minorHAnsi" w:hAnsiTheme="minorHAnsi" w:cstheme="minorHAnsi"/>
        </w:rPr>
        <w:t xml:space="preserve">  kuna odnosno plaću za prosinac 20</w:t>
      </w:r>
      <w:r w:rsidR="003377C0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1</w:t>
      </w:r>
      <w:r w:rsidRPr="000F2B76">
        <w:rPr>
          <w:rFonts w:asciiTheme="minorHAnsi" w:hAnsiTheme="minorHAnsi" w:cstheme="minorHAnsi"/>
        </w:rPr>
        <w:t>. godine koja je isplaćena u siječnju 20</w:t>
      </w:r>
      <w:r w:rsidR="00B55620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2</w:t>
      </w:r>
      <w:r w:rsidRPr="000F2B76">
        <w:rPr>
          <w:rFonts w:asciiTheme="minorHAnsi" w:hAnsiTheme="minorHAnsi" w:cstheme="minorHAnsi"/>
        </w:rPr>
        <w:t>.</w:t>
      </w:r>
    </w:p>
    <w:p w:rsid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232 – obveze za materijalne rashode u iznosu od </w:t>
      </w:r>
      <w:r w:rsidR="00F9667D">
        <w:rPr>
          <w:rFonts w:asciiTheme="minorHAnsi" w:hAnsiTheme="minorHAnsi" w:cstheme="minorHAnsi"/>
        </w:rPr>
        <w:t>225.914,42</w:t>
      </w:r>
      <w:r w:rsidRPr="005728E3">
        <w:rPr>
          <w:rFonts w:asciiTheme="minorHAnsi" w:hAnsiTheme="minorHAnsi" w:cstheme="minorHAnsi"/>
        </w:rPr>
        <w:t xml:space="preserve"> kuna koje dospijevaju do kraja siječnja</w:t>
      </w:r>
    </w:p>
    <w:p w:rsidR="00C55983" w:rsidRP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234 – obveze za financijske rashode iznose </w:t>
      </w:r>
      <w:r w:rsidR="00F9667D">
        <w:rPr>
          <w:rFonts w:asciiTheme="minorHAnsi" w:hAnsiTheme="minorHAnsi" w:cstheme="minorHAnsi"/>
        </w:rPr>
        <w:t>666,59</w:t>
      </w:r>
      <w:r w:rsidRPr="005728E3">
        <w:rPr>
          <w:rFonts w:asciiTheme="minorHAnsi" w:hAnsiTheme="minorHAnsi" w:cstheme="minorHAnsi"/>
        </w:rPr>
        <w:t xml:space="preserve"> kuna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3377C0">
        <w:rPr>
          <w:rFonts w:asciiTheme="minorHAnsi" w:hAnsiTheme="minorHAnsi" w:cstheme="minorHAnsi"/>
        </w:rPr>
        <w:t>6</w:t>
      </w:r>
      <w:r w:rsidR="00F9667D">
        <w:rPr>
          <w:rFonts w:asciiTheme="minorHAnsi" w:hAnsiTheme="minorHAnsi" w:cstheme="minorHAnsi"/>
        </w:rPr>
        <w:t>3</w:t>
      </w:r>
      <w:r w:rsidR="003377C0">
        <w:rPr>
          <w:rFonts w:asciiTheme="minorHAnsi" w:hAnsiTheme="minorHAnsi" w:cstheme="minorHAnsi"/>
        </w:rPr>
        <w:t>.</w:t>
      </w:r>
      <w:r w:rsidR="00F9667D">
        <w:rPr>
          <w:rFonts w:asciiTheme="minorHAnsi" w:hAnsiTheme="minorHAnsi" w:cstheme="minorHAnsi"/>
        </w:rPr>
        <w:t>632,84</w:t>
      </w:r>
      <w:r w:rsidR="00A70514">
        <w:rPr>
          <w:rFonts w:asciiTheme="minorHAnsi" w:hAnsiTheme="minorHAnsi" w:cstheme="minorHAnsi"/>
        </w:rPr>
        <w:t xml:space="preserve"> </w:t>
      </w:r>
      <w:r w:rsidRPr="000F2B76">
        <w:rPr>
          <w:rFonts w:asciiTheme="minorHAnsi" w:hAnsiTheme="minorHAnsi" w:cstheme="minorHAnsi"/>
        </w:rPr>
        <w:t xml:space="preserve">kuna odnose se na prijevoz i prehranu učenika. Obveze </w:t>
      </w:r>
      <w:r w:rsidR="005728E3">
        <w:rPr>
          <w:rFonts w:asciiTheme="minorHAnsi" w:hAnsiTheme="minorHAnsi" w:cstheme="minorHAnsi"/>
        </w:rPr>
        <w:t>su</w:t>
      </w:r>
      <w:r w:rsidRPr="000F2B76">
        <w:rPr>
          <w:rFonts w:asciiTheme="minorHAnsi" w:hAnsiTheme="minorHAnsi" w:cstheme="minorHAnsi"/>
        </w:rPr>
        <w:t xml:space="preserve"> podmirene po uplati sredstava od strane Županije, gradova, općina i nadležnog Ministarstva.</w:t>
      </w:r>
    </w:p>
    <w:p w:rsidR="00C55983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F9667D">
        <w:rPr>
          <w:rFonts w:asciiTheme="minorHAnsi" w:hAnsiTheme="minorHAnsi" w:cstheme="minorHAnsi"/>
        </w:rPr>
        <w:t>572,73</w:t>
      </w:r>
      <w:r w:rsidRPr="000F2B76">
        <w:rPr>
          <w:rFonts w:asciiTheme="minorHAnsi" w:hAnsiTheme="minorHAnsi" w:cstheme="minorHAnsi"/>
        </w:rPr>
        <w:t xml:space="preserve">  kuna dospijevaju do kraja siječnja.</w:t>
      </w:r>
    </w:p>
    <w:p w:rsidR="00DD27DA" w:rsidRPr="003377C0" w:rsidRDefault="00C55983" w:rsidP="00444204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377C0">
        <w:rPr>
          <w:rFonts w:asciiTheme="minorHAnsi" w:hAnsiTheme="minorHAnsi" w:cstheme="minorHAnsi"/>
        </w:rPr>
        <w:t xml:space="preserve">Međusobne obveze proračunskih korisnika </w:t>
      </w:r>
      <w:r w:rsidR="003377C0" w:rsidRPr="000F2B76">
        <w:rPr>
          <w:rFonts w:asciiTheme="minorHAnsi" w:hAnsiTheme="minorHAnsi" w:cstheme="minorHAnsi"/>
        </w:rPr>
        <w:t xml:space="preserve">u iznosu od </w:t>
      </w:r>
      <w:r w:rsidR="00F9667D">
        <w:rPr>
          <w:rFonts w:asciiTheme="minorHAnsi" w:hAnsiTheme="minorHAnsi" w:cstheme="minorHAnsi"/>
        </w:rPr>
        <w:t>52.636,85</w:t>
      </w:r>
      <w:r w:rsidR="003377C0">
        <w:rPr>
          <w:rFonts w:asciiTheme="minorHAnsi" w:hAnsiTheme="minorHAnsi" w:cstheme="minorHAnsi"/>
        </w:rPr>
        <w:t xml:space="preserve"> </w:t>
      </w:r>
      <w:r w:rsidR="003377C0" w:rsidRPr="000F2B76">
        <w:rPr>
          <w:rFonts w:asciiTheme="minorHAnsi" w:hAnsiTheme="minorHAnsi" w:cstheme="minorHAnsi"/>
        </w:rPr>
        <w:t>kun</w:t>
      </w:r>
      <w:r w:rsidR="003377C0">
        <w:rPr>
          <w:rFonts w:asciiTheme="minorHAnsi" w:hAnsiTheme="minorHAnsi" w:cstheme="minorHAnsi"/>
        </w:rPr>
        <w:t>a</w:t>
      </w:r>
      <w:r w:rsidR="003377C0" w:rsidRPr="000F2B76">
        <w:rPr>
          <w:rFonts w:asciiTheme="minorHAnsi" w:hAnsiTheme="minorHAnsi" w:cstheme="minorHAnsi"/>
        </w:rPr>
        <w:t xml:space="preserve"> odnosi se na obveze za refundaciju bolovanja na teret HZZO-a, </w:t>
      </w:r>
      <w:r w:rsidR="00F9667D">
        <w:rPr>
          <w:rFonts w:asciiTheme="minorHAnsi" w:hAnsiTheme="minorHAnsi" w:cstheme="minorHAnsi"/>
        </w:rPr>
        <w:t>4.285,42</w:t>
      </w:r>
      <w:r w:rsidR="003377C0" w:rsidRPr="000F2B76">
        <w:rPr>
          <w:rFonts w:asciiTheme="minorHAnsi" w:hAnsiTheme="minorHAnsi" w:cstheme="minorHAnsi"/>
        </w:rPr>
        <w:t xml:space="preserve"> kuna odnosi se na više uplaćeni porez i prirez, a </w:t>
      </w:r>
      <w:r w:rsidR="00F9667D">
        <w:rPr>
          <w:rFonts w:asciiTheme="minorHAnsi" w:hAnsiTheme="minorHAnsi" w:cstheme="minorHAnsi"/>
        </w:rPr>
        <w:t>775,59</w:t>
      </w:r>
      <w:r w:rsidR="003377C0" w:rsidRPr="000F2B76">
        <w:rPr>
          <w:rFonts w:asciiTheme="minorHAnsi" w:hAnsiTheme="minorHAnsi" w:cstheme="minorHAnsi"/>
        </w:rPr>
        <w:t xml:space="preserve"> kuna odnosi se na rashode poslovanja (troškove električne energije i vode) koje prema Sporazumu Centru refundira Specijalna bolnica za medicinsku rehabilitaciju Krapinske Toplice.</w:t>
      </w:r>
    </w:p>
    <w:p w:rsidR="0059175A" w:rsidRDefault="00DD27DA" w:rsidP="0059175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V007</w:t>
      </w:r>
      <w:r w:rsidRPr="000F2B76">
        <w:rPr>
          <w:rFonts w:asciiTheme="minorHAnsi" w:hAnsiTheme="minorHAnsi" w:cstheme="minorHAnsi"/>
        </w:rPr>
        <w:t xml:space="preserve"> – stanje dospjelih obveza na kraju izvještajnog razdoblja </w:t>
      </w:r>
      <w:r w:rsidR="00CE2E04">
        <w:rPr>
          <w:rFonts w:asciiTheme="minorHAnsi" w:hAnsiTheme="minorHAnsi" w:cstheme="minorHAnsi"/>
        </w:rPr>
        <w:t xml:space="preserve">- </w:t>
      </w:r>
      <w:r w:rsidR="00D274C9">
        <w:rPr>
          <w:rFonts w:asciiTheme="minorHAnsi" w:hAnsiTheme="minorHAnsi" w:cstheme="minorHAnsi"/>
        </w:rPr>
        <w:t xml:space="preserve">iznos od </w:t>
      </w:r>
      <w:r w:rsidR="00F9667D">
        <w:rPr>
          <w:rFonts w:asciiTheme="minorHAnsi" w:hAnsiTheme="minorHAnsi" w:cstheme="minorHAnsi"/>
        </w:rPr>
        <w:t>882,00</w:t>
      </w:r>
      <w:r w:rsidR="00D274C9">
        <w:rPr>
          <w:rFonts w:asciiTheme="minorHAnsi" w:hAnsiTheme="minorHAnsi" w:cstheme="minorHAnsi"/>
        </w:rPr>
        <w:t xml:space="preserve"> kn odnosi se na obveze za troškove prijevoza predškolske djece koje se podmiruju po uplati sredstava gradova i općina.</w:t>
      </w:r>
      <w:r w:rsidR="00A70514">
        <w:rPr>
          <w:rFonts w:asciiTheme="minorHAnsi" w:hAnsiTheme="minorHAnsi" w:cstheme="minorHAnsi"/>
        </w:rPr>
        <w:t xml:space="preserve"> </w:t>
      </w:r>
      <w:r w:rsidR="0059175A">
        <w:rPr>
          <w:rFonts w:asciiTheme="minorHAnsi" w:hAnsiTheme="minorHAnsi" w:cstheme="minorHAnsi"/>
        </w:rPr>
        <w:t xml:space="preserve"> </w:t>
      </w:r>
      <w:r w:rsidR="00CE2E04">
        <w:rPr>
          <w:rFonts w:asciiTheme="minorHAnsi" w:hAnsiTheme="minorHAnsi" w:cstheme="minorHAnsi"/>
        </w:rPr>
        <w:t>Prek</w:t>
      </w:r>
      <w:r w:rsidR="0059175A">
        <w:rPr>
          <w:rFonts w:asciiTheme="minorHAnsi" w:hAnsiTheme="minorHAnsi" w:cstheme="minorHAnsi"/>
        </w:rPr>
        <w:t>oračenj</w:t>
      </w:r>
      <w:r w:rsidR="00CE2E04">
        <w:rPr>
          <w:rFonts w:asciiTheme="minorHAnsi" w:hAnsiTheme="minorHAnsi" w:cstheme="minorHAnsi"/>
        </w:rPr>
        <w:t>a su</w:t>
      </w:r>
      <w:r w:rsidR="0059175A">
        <w:rPr>
          <w:rFonts w:asciiTheme="minorHAnsi" w:hAnsiTheme="minorHAnsi" w:cstheme="minorHAnsi"/>
        </w:rPr>
        <w:t xml:space="preserve"> do </w:t>
      </w:r>
      <w:r w:rsidR="002057FD">
        <w:rPr>
          <w:rFonts w:asciiTheme="minorHAnsi" w:hAnsiTheme="minorHAnsi" w:cstheme="minorHAnsi"/>
        </w:rPr>
        <w:t>9</w:t>
      </w:r>
      <w:r w:rsidR="0059175A">
        <w:rPr>
          <w:rFonts w:asciiTheme="minorHAnsi" w:hAnsiTheme="minorHAnsi" w:cstheme="minorHAnsi"/>
        </w:rPr>
        <w:t>0 dana</w:t>
      </w:r>
      <w:r w:rsidR="00D274C9">
        <w:rPr>
          <w:rFonts w:asciiTheme="minorHAnsi" w:hAnsiTheme="minorHAnsi" w:cstheme="minorHAnsi"/>
        </w:rPr>
        <w:t xml:space="preserve"> </w:t>
      </w:r>
      <w:r w:rsidR="00CE2E04">
        <w:rPr>
          <w:rFonts w:asciiTheme="minorHAnsi" w:hAnsiTheme="minorHAnsi" w:cstheme="minorHAnsi"/>
        </w:rPr>
        <w:t>.</w:t>
      </w:r>
      <w:r w:rsidR="002057FD">
        <w:rPr>
          <w:rFonts w:asciiTheme="minorHAnsi" w:hAnsiTheme="minorHAnsi" w:cstheme="minorHAnsi"/>
        </w:rPr>
        <w:t xml:space="preserve"> </w:t>
      </w:r>
    </w:p>
    <w:p w:rsidR="0059175A" w:rsidRPr="000F2B76" w:rsidRDefault="0059175A" w:rsidP="00C07C8B">
      <w:pPr>
        <w:jc w:val="both"/>
        <w:rPr>
          <w:rFonts w:asciiTheme="minorHAnsi" w:hAnsiTheme="minorHAnsi" w:cstheme="minorHAnsi"/>
        </w:rPr>
      </w:pPr>
    </w:p>
    <w:p w:rsidR="00C07C8B" w:rsidRPr="000F2B76" w:rsidRDefault="00C07C8B" w:rsidP="00C07C8B">
      <w:pPr>
        <w:ind w:firstLine="708"/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V009</w:t>
      </w:r>
      <w:r w:rsidR="00734CC8" w:rsidRPr="000F2B76">
        <w:rPr>
          <w:rFonts w:asciiTheme="minorHAnsi" w:hAnsiTheme="minorHAnsi" w:cstheme="minorHAnsi"/>
        </w:rPr>
        <w:t xml:space="preserve"> – stanje nedospjelih obveza na kraju izvještajnog razdoblja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Stanje nedospjelih međusobnih obveza proračunskih korisnika u iznosu od </w:t>
      </w:r>
      <w:r w:rsidR="00F9667D">
        <w:rPr>
          <w:rFonts w:asciiTheme="minorHAnsi" w:hAnsiTheme="minorHAnsi" w:cstheme="minorHAnsi"/>
        </w:rPr>
        <w:t>102.401,77</w:t>
      </w:r>
      <w:r w:rsidR="00D274C9">
        <w:rPr>
          <w:rFonts w:asciiTheme="minorHAnsi" w:hAnsiTheme="minorHAnsi" w:cstheme="minorHAnsi"/>
        </w:rPr>
        <w:t xml:space="preserve"> </w:t>
      </w:r>
      <w:r w:rsidRPr="000F2B76">
        <w:rPr>
          <w:rFonts w:asciiTheme="minorHAnsi" w:hAnsiTheme="minorHAnsi" w:cstheme="minorHAnsi"/>
        </w:rPr>
        <w:t>kun</w:t>
      </w:r>
      <w:r w:rsidR="00D274C9">
        <w:rPr>
          <w:rFonts w:asciiTheme="minorHAnsi" w:hAnsiTheme="minorHAnsi" w:cstheme="minorHAnsi"/>
        </w:rPr>
        <w:t>a</w:t>
      </w:r>
      <w:r w:rsidRPr="000F2B76">
        <w:rPr>
          <w:rFonts w:asciiTheme="minorHAnsi" w:hAnsiTheme="minorHAnsi" w:cstheme="minorHAnsi"/>
        </w:rPr>
        <w:t xml:space="preserve"> odnosi se na obveze za refundac</w:t>
      </w:r>
      <w:r w:rsidR="008C41D0" w:rsidRPr="000F2B76">
        <w:rPr>
          <w:rFonts w:asciiTheme="minorHAnsi" w:hAnsiTheme="minorHAnsi" w:cstheme="minorHAnsi"/>
        </w:rPr>
        <w:t xml:space="preserve">iju bolovanja na teret HZZO-a, </w:t>
      </w:r>
      <w:r w:rsidR="00F9667D">
        <w:rPr>
          <w:rFonts w:asciiTheme="minorHAnsi" w:hAnsiTheme="minorHAnsi" w:cstheme="minorHAnsi"/>
        </w:rPr>
        <w:t>3.336,19</w:t>
      </w:r>
      <w:r w:rsidR="008C41D0" w:rsidRPr="000F2B76">
        <w:rPr>
          <w:rFonts w:asciiTheme="minorHAnsi" w:hAnsiTheme="minorHAnsi" w:cstheme="minorHAnsi"/>
        </w:rPr>
        <w:t xml:space="preserve"> kuna odnosi se na više uplaćeni porez i prirez, a </w:t>
      </w:r>
      <w:r w:rsidR="00F9667D">
        <w:rPr>
          <w:rFonts w:asciiTheme="minorHAnsi" w:hAnsiTheme="minorHAnsi" w:cstheme="minorHAnsi"/>
        </w:rPr>
        <w:t>847,59</w:t>
      </w:r>
      <w:r w:rsidRPr="000F2B76">
        <w:rPr>
          <w:rFonts w:asciiTheme="minorHAnsi" w:hAnsiTheme="minorHAnsi" w:cstheme="minorHAnsi"/>
        </w:rPr>
        <w:t xml:space="preserve"> kuna odnosi se na rashode poslovanja (troškove električne energije i vode) koje </w:t>
      </w:r>
      <w:r w:rsidR="009352DA" w:rsidRPr="000F2B76">
        <w:rPr>
          <w:rFonts w:asciiTheme="minorHAnsi" w:hAnsiTheme="minorHAnsi" w:cstheme="minorHAnsi"/>
        </w:rPr>
        <w:t xml:space="preserve">prema Sporazumu </w:t>
      </w:r>
      <w:r w:rsidRPr="000F2B76">
        <w:rPr>
          <w:rFonts w:asciiTheme="minorHAnsi" w:hAnsiTheme="minorHAnsi" w:cstheme="minorHAnsi"/>
        </w:rPr>
        <w:t>Centru refundira Specijalna bolnica za medicinsku rehabilitaciju Krapinske Toplice.</w:t>
      </w:r>
    </w:p>
    <w:p w:rsidR="009352DA" w:rsidRPr="000F2B76" w:rsidRDefault="009352DA" w:rsidP="00734CC8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>Stanje nedospjelih obveza za rashode poslovanja odnosi se na:</w:t>
      </w:r>
    </w:p>
    <w:p w:rsidR="009352DA" w:rsidRPr="000F2B76" w:rsidRDefault="009352DA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F9667D">
        <w:rPr>
          <w:rFonts w:asciiTheme="minorHAnsi" w:hAnsiTheme="minorHAnsi" w:cstheme="minorHAnsi"/>
        </w:rPr>
        <w:t>674.121,88</w:t>
      </w:r>
      <w:r w:rsidR="008C41D0" w:rsidRPr="000F2B76">
        <w:rPr>
          <w:rFonts w:asciiTheme="minorHAnsi" w:hAnsiTheme="minorHAnsi" w:cstheme="minorHAnsi"/>
        </w:rPr>
        <w:t xml:space="preserve"> </w:t>
      </w:r>
      <w:r w:rsidRPr="000F2B76">
        <w:rPr>
          <w:rFonts w:asciiTheme="minorHAnsi" w:hAnsiTheme="minorHAnsi" w:cstheme="minorHAnsi"/>
        </w:rPr>
        <w:t xml:space="preserve"> kuna odnosno plaću za prosinac 20</w:t>
      </w:r>
      <w:r w:rsidR="00CE2E04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2</w:t>
      </w:r>
      <w:r w:rsidRPr="000F2B76">
        <w:rPr>
          <w:rFonts w:asciiTheme="minorHAnsi" w:hAnsiTheme="minorHAnsi" w:cstheme="minorHAnsi"/>
        </w:rPr>
        <w:t xml:space="preserve">. godine koja je isplaćena </w:t>
      </w:r>
      <w:r w:rsidR="008C41D0" w:rsidRPr="000F2B76">
        <w:rPr>
          <w:rFonts w:asciiTheme="minorHAnsi" w:hAnsiTheme="minorHAnsi" w:cstheme="minorHAnsi"/>
        </w:rPr>
        <w:t>u</w:t>
      </w:r>
      <w:r w:rsidRPr="000F2B76">
        <w:rPr>
          <w:rFonts w:asciiTheme="minorHAnsi" w:hAnsiTheme="minorHAnsi" w:cstheme="minorHAnsi"/>
        </w:rPr>
        <w:t xml:space="preserve"> </w:t>
      </w:r>
      <w:r w:rsidR="00A13DA9" w:rsidRPr="000F2B76">
        <w:rPr>
          <w:rFonts w:asciiTheme="minorHAnsi" w:hAnsiTheme="minorHAnsi" w:cstheme="minorHAnsi"/>
        </w:rPr>
        <w:t>s</w:t>
      </w:r>
      <w:r w:rsidRPr="000F2B76">
        <w:rPr>
          <w:rFonts w:asciiTheme="minorHAnsi" w:hAnsiTheme="minorHAnsi" w:cstheme="minorHAnsi"/>
        </w:rPr>
        <w:t>iječnj</w:t>
      </w:r>
      <w:r w:rsidR="008C41D0" w:rsidRPr="000F2B76">
        <w:rPr>
          <w:rFonts w:asciiTheme="minorHAnsi" w:hAnsiTheme="minorHAnsi" w:cstheme="minorHAnsi"/>
        </w:rPr>
        <w:t>u</w:t>
      </w:r>
      <w:r w:rsidR="00D274C9">
        <w:rPr>
          <w:rFonts w:asciiTheme="minorHAnsi" w:hAnsiTheme="minorHAnsi" w:cstheme="minorHAnsi"/>
        </w:rPr>
        <w:t xml:space="preserve"> 202</w:t>
      </w:r>
      <w:r w:rsidR="00F9667D">
        <w:rPr>
          <w:rFonts w:asciiTheme="minorHAnsi" w:hAnsiTheme="minorHAnsi" w:cstheme="minorHAnsi"/>
        </w:rPr>
        <w:t>3</w:t>
      </w:r>
      <w:r w:rsidRPr="000F2B76">
        <w:rPr>
          <w:rFonts w:asciiTheme="minorHAnsi" w:hAnsiTheme="minorHAnsi" w:cstheme="minorHAnsi"/>
        </w:rPr>
        <w:t>.</w:t>
      </w:r>
    </w:p>
    <w:p w:rsidR="009352DA" w:rsidRDefault="009352DA" w:rsidP="004B3902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lastRenderedPageBreak/>
        <w:t>232 – obveze za materijalne rashode</w:t>
      </w:r>
      <w:r w:rsidR="00DC3065" w:rsidRPr="000F2B76">
        <w:rPr>
          <w:rFonts w:asciiTheme="minorHAnsi" w:hAnsiTheme="minorHAnsi" w:cstheme="minorHAnsi"/>
        </w:rPr>
        <w:t xml:space="preserve"> u iznosu od </w:t>
      </w:r>
      <w:r w:rsidR="00F9667D">
        <w:rPr>
          <w:rFonts w:asciiTheme="minorHAnsi" w:hAnsiTheme="minorHAnsi" w:cstheme="minorHAnsi"/>
        </w:rPr>
        <w:t>146.490,76</w:t>
      </w:r>
      <w:r w:rsidR="00DC3065" w:rsidRPr="000F2B76">
        <w:rPr>
          <w:rFonts w:asciiTheme="minorHAnsi" w:hAnsiTheme="minorHAnsi" w:cstheme="minorHAnsi"/>
        </w:rPr>
        <w:t xml:space="preserve"> kuna koje dospijevaju do kraja siječnja</w:t>
      </w:r>
      <w:r w:rsidR="004B3902" w:rsidRPr="000F2B76">
        <w:rPr>
          <w:rFonts w:asciiTheme="minorHAnsi" w:hAnsiTheme="minorHAnsi" w:cstheme="minorHAnsi"/>
        </w:rPr>
        <w:t xml:space="preserve">. </w:t>
      </w:r>
    </w:p>
    <w:p w:rsidR="009507C2" w:rsidRPr="000F2B76" w:rsidRDefault="009507C2" w:rsidP="009507C2">
      <w:pPr>
        <w:pStyle w:val="Odlomakpopisa"/>
        <w:ind w:left="1065"/>
        <w:jc w:val="both"/>
        <w:rPr>
          <w:rFonts w:asciiTheme="minorHAnsi" w:hAnsiTheme="minorHAnsi" w:cstheme="minorHAnsi"/>
        </w:rPr>
      </w:pPr>
    </w:p>
    <w:p w:rsidR="00DD7029" w:rsidRPr="000F2B76" w:rsidRDefault="00DD7029" w:rsidP="00DD7029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234 – obveze za financijske rashode iznose </w:t>
      </w:r>
      <w:r w:rsidR="00F9667D">
        <w:rPr>
          <w:rFonts w:asciiTheme="minorHAnsi" w:hAnsiTheme="minorHAnsi" w:cstheme="minorHAnsi"/>
        </w:rPr>
        <w:t>970,44</w:t>
      </w:r>
      <w:r w:rsidRPr="000F2B76">
        <w:rPr>
          <w:rFonts w:asciiTheme="minorHAnsi" w:hAnsiTheme="minorHAnsi" w:cstheme="minorHAnsi"/>
        </w:rPr>
        <w:t xml:space="preserve"> kuna</w:t>
      </w:r>
    </w:p>
    <w:p w:rsidR="00DC3065" w:rsidRPr="000F2B76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2057FD">
        <w:rPr>
          <w:rFonts w:asciiTheme="minorHAnsi" w:hAnsiTheme="minorHAnsi" w:cstheme="minorHAnsi"/>
        </w:rPr>
        <w:t>6</w:t>
      </w:r>
      <w:r w:rsidR="00F9667D">
        <w:rPr>
          <w:rFonts w:asciiTheme="minorHAnsi" w:hAnsiTheme="minorHAnsi" w:cstheme="minorHAnsi"/>
        </w:rPr>
        <w:t>3</w:t>
      </w:r>
      <w:r w:rsidR="002057FD">
        <w:rPr>
          <w:rFonts w:asciiTheme="minorHAnsi" w:hAnsiTheme="minorHAnsi" w:cstheme="minorHAnsi"/>
        </w:rPr>
        <w:t>.</w:t>
      </w:r>
      <w:r w:rsidR="00F9667D">
        <w:rPr>
          <w:rFonts w:asciiTheme="minorHAnsi" w:hAnsiTheme="minorHAnsi" w:cstheme="minorHAnsi"/>
        </w:rPr>
        <w:t>976,34</w:t>
      </w:r>
      <w:r w:rsidRPr="000F2B76">
        <w:rPr>
          <w:rFonts w:asciiTheme="minorHAnsi" w:hAnsiTheme="minorHAnsi" w:cstheme="minorHAnsi"/>
        </w:rPr>
        <w:t xml:space="preserve"> kuna odnose se na prijevoz i prehranu učenika</w:t>
      </w:r>
      <w:r w:rsidR="00937E56" w:rsidRPr="000F2B76">
        <w:rPr>
          <w:rFonts w:asciiTheme="minorHAnsi" w:hAnsiTheme="minorHAnsi" w:cstheme="minorHAnsi"/>
        </w:rPr>
        <w:t xml:space="preserve">. </w:t>
      </w:r>
    </w:p>
    <w:p w:rsidR="00DC3065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F9667D">
        <w:rPr>
          <w:rFonts w:asciiTheme="minorHAnsi" w:hAnsiTheme="minorHAnsi" w:cstheme="minorHAnsi"/>
        </w:rPr>
        <w:t>419,90</w:t>
      </w:r>
      <w:r w:rsidR="00B660A3" w:rsidRPr="000F2B76">
        <w:rPr>
          <w:rFonts w:asciiTheme="minorHAnsi" w:hAnsiTheme="minorHAnsi" w:cstheme="minorHAnsi"/>
        </w:rPr>
        <w:t xml:space="preserve"> </w:t>
      </w:r>
      <w:r w:rsidRPr="000F2B76">
        <w:rPr>
          <w:rFonts w:asciiTheme="minorHAnsi" w:hAnsiTheme="minorHAnsi" w:cstheme="minorHAnsi"/>
        </w:rPr>
        <w:t xml:space="preserve"> kuna dospijevaju do kraja siječnja</w:t>
      </w:r>
    </w:p>
    <w:p w:rsidR="00F9667D" w:rsidRPr="00F9667D" w:rsidRDefault="00F9667D" w:rsidP="00F9667D">
      <w:pPr>
        <w:jc w:val="both"/>
        <w:rPr>
          <w:rFonts w:asciiTheme="minorHAnsi" w:hAnsiTheme="minorHAnsi" w:cstheme="minorHAnsi"/>
        </w:rPr>
      </w:pPr>
      <w:r w:rsidRPr="00F9667D">
        <w:rPr>
          <w:rFonts w:asciiTheme="minorHAnsi" w:hAnsiTheme="minorHAnsi" w:cstheme="minorHAnsi"/>
        </w:rPr>
        <w:t xml:space="preserve">Stanje nedospjelih obveza za nabavu nefinancijske imovine - </w:t>
      </w:r>
      <w:r w:rsidR="00442B9D" w:rsidRPr="00F9667D">
        <w:rPr>
          <w:rFonts w:asciiTheme="minorHAnsi" w:hAnsiTheme="minorHAnsi" w:cstheme="minorHAnsi"/>
        </w:rPr>
        <w:t>24 - obveze za nabavu nefinancijske imovine</w:t>
      </w:r>
      <w:r w:rsidR="002057FD" w:rsidRPr="00F9667D">
        <w:rPr>
          <w:rFonts w:asciiTheme="minorHAnsi" w:hAnsiTheme="minorHAnsi" w:cstheme="minorHAnsi"/>
        </w:rPr>
        <w:t xml:space="preserve"> iznose </w:t>
      </w:r>
      <w:r w:rsidRPr="00F9667D">
        <w:rPr>
          <w:rFonts w:asciiTheme="minorHAnsi" w:hAnsiTheme="minorHAnsi" w:cstheme="minorHAnsi"/>
        </w:rPr>
        <w:t xml:space="preserve">25.209,50. </w:t>
      </w:r>
    </w:p>
    <w:p w:rsidR="00DC3065" w:rsidRPr="00F9667D" w:rsidRDefault="00DC3065" w:rsidP="00F9667D">
      <w:pPr>
        <w:jc w:val="both"/>
        <w:rPr>
          <w:rFonts w:asciiTheme="minorHAnsi" w:hAnsiTheme="minorHAnsi" w:cstheme="minorHAnsi"/>
        </w:rPr>
      </w:pPr>
      <w:r w:rsidRPr="00F9667D">
        <w:rPr>
          <w:rFonts w:asciiTheme="minorHAnsi" w:hAnsiTheme="minorHAnsi" w:cstheme="minorHAnsi"/>
        </w:rPr>
        <w:t xml:space="preserve">Sredstva za podmirenje tih obveza osigurana su </w:t>
      </w:r>
      <w:r w:rsidR="004B3902" w:rsidRPr="00F9667D">
        <w:rPr>
          <w:rFonts w:asciiTheme="minorHAnsi" w:hAnsiTheme="minorHAnsi" w:cstheme="minorHAnsi"/>
        </w:rPr>
        <w:t>financijskim planom iz 20</w:t>
      </w:r>
      <w:r w:rsidR="00CE2E04" w:rsidRPr="00F9667D">
        <w:rPr>
          <w:rFonts w:asciiTheme="minorHAnsi" w:hAnsiTheme="minorHAnsi" w:cstheme="minorHAnsi"/>
        </w:rPr>
        <w:t>2</w:t>
      </w:r>
      <w:r w:rsidR="00F9667D" w:rsidRPr="00F9667D">
        <w:rPr>
          <w:rFonts w:asciiTheme="minorHAnsi" w:hAnsiTheme="minorHAnsi" w:cstheme="minorHAnsi"/>
        </w:rPr>
        <w:t>2</w:t>
      </w:r>
      <w:r w:rsidR="004B3902" w:rsidRPr="00F9667D">
        <w:rPr>
          <w:rFonts w:asciiTheme="minorHAnsi" w:hAnsiTheme="minorHAnsi" w:cstheme="minorHAnsi"/>
        </w:rPr>
        <w:t>. godine.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Krapinske Toplice, 2</w:t>
      </w:r>
      <w:r w:rsidR="00C9417E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.01.20</w:t>
      </w:r>
      <w:r w:rsidR="00C83F33">
        <w:rPr>
          <w:rFonts w:asciiTheme="minorHAnsi" w:hAnsiTheme="minorHAnsi" w:cstheme="minorHAnsi"/>
        </w:rPr>
        <w:t>2</w:t>
      </w:r>
      <w:r w:rsidR="00F9667D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</w:t>
      </w: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 za kontaktiranje:</w:t>
      </w:r>
    </w:p>
    <w:p w:rsidR="00C55983" w:rsidRPr="000F2B76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Štefica Dlesk, dipl.oec.</w:t>
      </w: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="00786DD2">
        <w:rPr>
          <w:rFonts w:asciiTheme="minorHAnsi" w:hAnsiTheme="minorHAnsi" w:cstheme="minorHAnsi"/>
        </w:rPr>
        <w:t xml:space="preserve"> za kontakt</w:t>
      </w:r>
      <w:r>
        <w:rPr>
          <w:rFonts w:asciiTheme="minorHAnsi" w:hAnsiTheme="minorHAnsi" w:cstheme="minorHAnsi"/>
        </w:rPr>
        <w:t>: 049 500 667</w:t>
      </w:r>
    </w:p>
    <w:p w:rsidR="00C55983" w:rsidRPr="000F2B76" w:rsidRDefault="00786DD2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Odgovorna osoba: Antun Zupanc</w:t>
      </w:r>
    </w:p>
    <w:tbl>
      <w:tblPr>
        <w:tblW w:w="9126" w:type="dxa"/>
        <w:tblInd w:w="93" w:type="dxa"/>
        <w:tblLook w:val="04A0" w:firstRow="1" w:lastRow="0" w:firstColumn="1" w:lastColumn="0" w:noHBand="0" w:noVBand="1"/>
      </w:tblPr>
      <w:tblGrid>
        <w:gridCol w:w="6525"/>
        <w:gridCol w:w="2601"/>
      </w:tblGrid>
      <w:tr w:rsidR="004B3902" w:rsidRPr="000F2B76" w:rsidTr="00374012">
        <w:trPr>
          <w:trHeight w:val="300"/>
        </w:trPr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Pr="000F2B76" w:rsidRDefault="000F2B76" w:rsidP="000F2B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902" w:rsidRPr="000F2B76" w:rsidRDefault="004B3902" w:rsidP="000F2B76">
            <w:pPr>
              <w:rPr>
                <w:rFonts w:asciiTheme="minorHAnsi" w:hAnsiTheme="minorHAnsi" w:cstheme="minorHAnsi"/>
              </w:rPr>
            </w:pPr>
            <w:r w:rsidRPr="000F2B76">
              <w:rPr>
                <w:rFonts w:asciiTheme="minorHAnsi" w:hAnsiTheme="minorHAnsi" w:cstheme="minorHAnsi"/>
              </w:rPr>
              <w:t>RAVNATELJ:</w:t>
            </w:r>
          </w:p>
        </w:tc>
      </w:tr>
      <w:tr w:rsidR="004B3902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902" w:rsidRPr="000F2B76" w:rsidRDefault="00C55983" w:rsidP="000F2B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</w:t>
            </w:r>
            <w:r w:rsidR="00AB6832">
              <w:rPr>
                <w:rFonts w:asciiTheme="minorHAnsi" w:hAnsiTheme="minorHAnsi" w:cstheme="minorHAnsi"/>
              </w:rPr>
              <w:t xml:space="preserve">                          </w:t>
            </w:r>
            <w:r w:rsidR="004B3902" w:rsidRPr="000F2B76">
              <w:rPr>
                <w:rFonts w:asciiTheme="minorHAnsi" w:hAnsiTheme="minorHAnsi" w:cstheme="minorHAnsi"/>
              </w:rPr>
              <w:t xml:space="preserve">Antun Zupanc, </w:t>
            </w:r>
            <w:r w:rsidR="00AB6832" w:rsidRPr="00AB6832">
              <w:rPr>
                <w:rFonts w:asciiTheme="minorHAnsi" w:hAnsiTheme="minorHAnsi" w:cstheme="minorHAnsi"/>
              </w:rPr>
              <w:t>mag.rehab.educ.</w:t>
            </w:r>
          </w:p>
        </w:tc>
      </w:tr>
      <w:tr w:rsidR="000F2B76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Default="000F2B76" w:rsidP="000F2B76">
            <w:pPr>
              <w:rPr>
                <w:rFonts w:asciiTheme="minorHAnsi" w:hAnsiTheme="minorHAnsi" w:cstheme="minorHAnsi"/>
              </w:rPr>
            </w:pPr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</w:tbl>
    <w:p w:rsidR="004B3902" w:rsidRDefault="004B3902" w:rsidP="004B3902"/>
    <w:sectPr w:rsidR="004B3902" w:rsidSect="008A406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20F" w:rsidRDefault="0087420F" w:rsidP="00326EB0">
      <w:r>
        <w:separator/>
      </w:r>
    </w:p>
  </w:endnote>
  <w:endnote w:type="continuationSeparator" w:id="0">
    <w:p w:rsidR="0087420F" w:rsidRDefault="0087420F" w:rsidP="0032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20F" w:rsidRDefault="0087420F" w:rsidP="00326EB0">
      <w:r>
        <w:separator/>
      </w:r>
    </w:p>
  </w:footnote>
  <w:footnote w:type="continuationSeparator" w:id="0">
    <w:p w:rsidR="0087420F" w:rsidRDefault="0087420F" w:rsidP="00326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1F2B"/>
    <w:multiLevelType w:val="hybridMultilevel"/>
    <w:tmpl w:val="4AF88866"/>
    <w:lvl w:ilvl="0" w:tplc="621657F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6E4511"/>
    <w:multiLevelType w:val="hybridMultilevel"/>
    <w:tmpl w:val="174863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61535"/>
    <w:multiLevelType w:val="hybridMultilevel"/>
    <w:tmpl w:val="3856A406"/>
    <w:lvl w:ilvl="0" w:tplc="061CA706">
      <w:start w:val="8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E43307C"/>
    <w:multiLevelType w:val="hybridMultilevel"/>
    <w:tmpl w:val="428686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D4E"/>
    <w:multiLevelType w:val="hybridMultilevel"/>
    <w:tmpl w:val="10F043A6"/>
    <w:lvl w:ilvl="0" w:tplc="AFA27B2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A2463"/>
    <w:multiLevelType w:val="hybridMultilevel"/>
    <w:tmpl w:val="7D022220"/>
    <w:lvl w:ilvl="0" w:tplc="55783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89"/>
    <w:rsid w:val="00012177"/>
    <w:rsid w:val="00021863"/>
    <w:rsid w:val="00021A3B"/>
    <w:rsid w:val="0002359D"/>
    <w:rsid w:val="00037088"/>
    <w:rsid w:val="0003748A"/>
    <w:rsid w:val="000665F2"/>
    <w:rsid w:val="00073D50"/>
    <w:rsid w:val="00081D6C"/>
    <w:rsid w:val="00091E58"/>
    <w:rsid w:val="00096043"/>
    <w:rsid w:val="00097B44"/>
    <w:rsid w:val="000A7AB7"/>
    <w:rsid w:val="000B1EE8"/>
    <w:rsid w:val="000D05C5"/>
    <w:rsid w:val="000E7A3D"/>
    <w:rsid w:val="000E7E96"/>
    <w:rsid w:val="000F2B76"/>
    <w:rsid w:val="000F6685"/>
    <w:rsid w:val="0010515E"/>
    <w:rsid w:val="00105338"/>
    <w:rsid w:val="00107575"/>
    <w:rsid w:val="00111488"/>
    <w:rsid w:val="00122DE2"/>
    <w:rsid w:val="00142363"/>
    <w:rsid w:val="00150BDA"/>
    <w:rsid w:val="001570CD"/>
    <w:rsid w:val="00165B6C"/>
    <w:rsid w:val="00180CED"/>
    <w:rsid w:val="001852E6"/>
    <w:rsid w:val="0019661A"/>
    <w:rsid w:val="001B6C68"/>
    <w:rsid w:val="001C5C42"/>
    <w:rsid w:val="001C79D9"/>
    <w:rsid w:val="001D287E"/>
    <w:rsid w:val="001D3B95"/>
    <w:rsid w:val="001E30D6"/>
    <w:rsid w:val="001F6060"/>
    <w:rsid w:val="002057FD"/>
    <w:rsid w:val="002064DE"/>
    <w:rsid w:val="00246758"/>
    <w:rsid w:val="00250E4A"/>
    <w:rsid w:val="00264D75"/>
    <w:rsid w:val="00286955"/>
    <w:rsid w:val="00287B8E"/>
    <w:rsid w:val="0029420D"/>
    <w:rsid w:val="002C37CD"/>
    <w:rsid w:val="002F25CA"/>
    <w:rsid w:val="003112C4"/>
    <w:rsid w:val="00315C26"/>
    <w:rsid w:val="00321D21"/>
    <w:rsid w:val="00326EB0"/>
    <w:rsid w:val="003377C0"/>
    <w:rsid w:val="003579FA"/>
    <w:rsid w:val="00365461"/>
    <w:rsid w:val="00393603"/>
    <w:rsid w:val="00394AAD"/>
    <w:rsid w:val="003A27C7"/>
    <w:rsid w:val="003C62DB"/>
    <w:rsid w:val="003E2E2C"/>
    <w:rsid w:val="00401149"/>
    <w:rsid w:val="00405011"/>
    <w:rsid w:val="0040544F"/>
    <w:rsid w:val="00417FF5"/>
    <w:rsid w:val="00442B9D"/>
    <w:rsid w:val="0044380D"/>
    <w:rsid w:val="004470E5"/>
    <w:rsid w:val="004574B3"/>
    <w:rsid w:val="00466621"/>
    <w:rsid w:val="004676CB"/>
    <w:rsid w:val="00472313"/>
    <w:rsid w:val="004858F0"/>
    <w:rsid w:val="00490B89"/>
    <w:rsid w:val="004A5F6F"/>
    <w:rsid w:val="004B3902"/>
    <w:rsid w:val="004C12E8"/>
    <w:rsid w:val="004C2258"/>
    <w:rsid w:val="00536FD1"/>
    <w:rsid w:val="005372F3"/>
    <w:rsid w:val="005375CF"/>
    <w:rsid w:val="00560D23"/>
    <w:rsid w:val="005635AB"/>
    <w:rsid w:val="00567799"/>
    <w:rsid w:val="005719B5"/>
    <w:rsid w:val="005728E3"/>
    <w:rsid w:val="0057757E"/>
    <w:rsid w:val="00586C02"/>
    <w:rsid w:val="00587EF5"/>
    <w:rsid w:val="0059175A"/>
    <w:rsid w:val="005C1547"/>
    <w:rsid w:val="005C15FA"/>
    <w:rsid w:val="005E22CA"/>
    <w:rsid w:val="005E5A9E"/>
    <w:rsid w:val="005E5E42"/>
    <w:rsid w:val="0061106F"/>
    <w:rsid w:val="00620057"/>
    <w:rsid w:val="00635626"/>
    <w:rsid w:val="006371EA"/>
    <w:rsid w:val="00661E87"/>
    <w:rsid w:val="006659A7"/>
    <w:rsid w:val="0068723A"/>
    <w:rsid w:val="006B1B0D"/>
    <w:rsid w:val="006C752F"/>
    <w:rsid w:val="006D3D45"/>
    <w:rsid w:val="006D5268"/>
    <w:rsid w:val="007177DC"/>
    <w:rsid w:val="00721EE5"/>
    <w:rsid w:val="00734CC8"/>
    <w:rsid w:val="00751E5D"/>
    <w:rsid w:val="007800AA"/>
    <w:rsid w:val="00786DD2"/>
    <w:rsid w:val="00791176"/>
    <w:rsid w:val="007A550F"/>
    <w:rsid w:val="007C5BAA"/>
    <w:rsid w:val="007C70B8"/>
    <w:rsid w:val="007C767A"/>
    <w:rsid w:val="007F52E0"/>
    <w:rsid w:val="007F57B6"/>
    <w:rsid w:val="00810356"/>
    <w:rsid w:val="008212D7"/>
    <w:rsid w:val="008521F6"/>
    <w:rsid w:val="0087420F"/>
    <w:rsid w:val="00880655"/>
    <w:rsid w:val="008A4066"/>
    <w:rsid w:val="008A6195"/>
    <w:rsid w:val="008C0951"/>
    <w:rsid w:val="008C41D0"/>
    <w:rsid w:val="008C5FE1"/>
    <w:rsid w:val="008E7772"/>
    <w:rsid w:val="008F7DE5"/>
    <w:rsid w:val="00903168"/>
    <w:rsid w:val="009352DA"/>
    <w:rsid w:val="00937A37"/>
    <w:rsid w:val="00937E56"/>
    <w:rsid w:val="009507C2"/>
    <w:rsid w:val="00977903"/>
    <w:rsid w:val="00983A5B"/>
    <w:rsid w:val="00990F1C"/>
    <w:rsid w:val="00991934"/>
    <w:rsid w:val="00996010"/>
    <w:rsid w:val="009A4D56"/>
    <w:rsid w:val="009A6611"/>
    <w:rsid w:val="009B71E0"/>
    <w:rsid w:val="009E6EE6"/>
    <w:rsid w:val="00A13DA9"/>
    <w:rsid w:val="00A15731"/>
    <w:rsid w:val="00A216ED"/>
    <w:rsid w:val="00A359D6"/>
    <w:rsid w:val="00A70514"/>
    <w:rsid w:val="00A70EF9"/>
    <w:rsid w:val="00A75191"/>
    <w:rsid w:val="00A821CA"/>
    <w:rsid w:val="00A96803"/>
    <w:rsid w:val="00AA50CD"/>
    <w:rsid w:val="00AA665F"/>
    <w:rsid w:val="00AB29A1"/>
    <w:rsid w:val="00AB6832"/>
    <w:rsid w:val="00AC093C"/>
    <w:rsid w:val="00AC136A"/>
    <w:rsid w:val="00B036E5"/>
    <w:rsid w:val="00B11885"/>
    <w:rsid w:val="00B2183A"/>
    <w:rsid w:val="00B32E04"/>
    <w:rsid w:val="00B5053D"/>
    <w:rsid w:val="00B55620"/>
    <w:rsid w:val="00B646BC"/>
    <w:rsid w:val="00B648AC"/>
    <w:rsid w:val="00B660A3"/>
    <w:rsid w:val="00B70BC1"/>
    <w:rsid w:val="00B730FD"/>
    <w:rsid w:val="00B74ADD"/>
    <w:rsid w:val="00B75B75"/>
    <w:rsid w:val="00B8115B"/>
    <w:rsid w:val="00B855E5"/>
    <w:rsid w:val="00B97456"/>
    <w:rsid w:val="00BA53B2"/>
    <w:rsid w:val="00BC2DC5"/>
    <w:rsid w:val="00BE3B80"/>
    <w:rsid w:val="00BF720C"/>
    <w:rsid w:val="00C02D8A"/>
    <w:rsid w:val="00C07C8B"/>
    <w:rsid w:val="00C16A06"/>
    <w:rsid w:val="00C22AFB"/>
    <w:rsid w:val="00C25DD4"/>
    <w:rsid w:val="00C27C37"/>
    <w:rsid w:val="00C32569"/>
    <w:rsid w:val="00C46810"/>
    <w:rsid w:val="00C55983"/>
    <w:rsid w:val="00C83F33"/>
    <w:rsid w:val="00C9417E"/>
    <w:rsid w:val="00CA4B8B"/>
    <w:rsid w:val="00CB0276"/>
    <w:rsid w:val="00CD6EC3"/>
    <w:rsid w:val="00CE2E04"/>
    <w:rsid w:val="00CF01E0"/>
    <w:rsid w:val="00D04133"/>
    <w:rsid w:val="00D274C9"/>
    <w:rsid w:val="00D70DEF"/>
    <w:rsid w:val="00D72620"/>
    <w:rsid w:val="00D90741"/>
    <w:rsid w:val="00DA06FE"/>
    <w:rsid w:val="00DA1A5C"/>
    <w:rsid w:val="00DA2C58"/>
    <w:rsid w:val="00DB6513"/>
    <w:rsid w:val="00DC3065"/>
    <w:rsid w:val="00DD27DA"/>
    <w:rsid w:val="00DD7029"/>
    <w:rsid w:val="00DF2F5B"/>
    <w:rsid w:val="00E20773"/>
    <w:rsid w:val="00E36379"/>
    <w:rsid w:val="00E40962"/>
    <w:rsid w:val="00ED0BD7"/>
    <w:rsid w:val="00ED52AA"/>
    <w:rsid w:val="00ED712C"/>
    <w:rsid w:val="00EE2E56"/>
    <w:rsid w:val="00EE599F"/>
    <w:rsid w:val="00F10468"/>
    <w:rsid w:val="00F23D9F"/>
    <w:rsid w:val="00F42613"/>
    <w:rsid w:val="00F47F10"/>
    <w:rsid w:val="00F6018A"/>
    <w:rsid w:val="00F70857"/>
    <w:rsid w:val="00F8037F"/>
    <w:rsid w:val="00F9667D"/>
    <w:rsid w:val="00FC1640"/>
    <w:rsid w:val="00FD205E"/>
    <w:rsid w:val="00FE4964"/>
    <w:rsid w:val="00FE4D07"/>
    <w:rsid w:val="00FE616A"/>
    <w:rsid w:val="00FF528D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30ED4C-A748-4BB9-8383-1BE6D86A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EB0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A6195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80C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26EB0"/>
    <w:rPr>
      <w:rFonts w:eastAsia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6EB0"/>
    <w:rPr>
      <w:rFonts w:eastAsia="Times New Roman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4D56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A4D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4D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rsid w:val="008A6195"/>
    <w:rPr>
      <w:rFonts w:eastAsia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rsid w:val="00B855E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rsid w:val="00180C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RNA%20DOKUMENTI%20MIGRACIJA\MEMORANDUMI\Memorandum_01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A8B6E-B91B-49A5-85F3-72E63585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Memorandum_01</Template>
  <TotalTime>268</TotalTime>
  <Pages>6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Ravnatelj</dc:creator>
  <cp:lastModifiedBy>Štefica Dlesk</cp:lastModifiedBy>
  <cp:revision>9</cp:revision>
  <cp:lastPrinted>2023-01-26T09:31:00Z</cp:lastPrinted>
  <dcterms:created xsi:type="dcterms:W3CDTF">2023-01-25T12:01:00Z</dcterms:created>
  <dcterms:modified xsi:type="dcterms:W3CDTF">2023-02-03T10:06:00Z</dcterms:modified>
</cp:coreProperties>
</file>